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0A9B8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b w:val="0"/>
          <w:bCs w:val="0"/>
          <w:sz w:val="32"/>
          <w:szCs w:val="32"/>
        </w:rPr>
      </w:pPr>
      <w:r>
        <w:rPr>
          <w:rFonts w:hint="eastAsia" w:ascii="宋体" w:hAnsi="宋体" w:eastAsia="方正小标宋简体" w:cs="方正小标宋简体"/>
          <w:b w:val="0"/>
          <w:bCs w:val="0"/>
          <w:sz w:val="32"/>
          <w:szCs w:val="32"/>
        </w:rPr>
        <w:t>《深圳计量文化公园建设项目决策方案》解读材料</w:t>
      </w:r>
    </w:p>
    <w:p w14:paraId="40945BC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18030" w:cs="方正仿宋_GB18030"/>
          <w:sz w:val="24"/>
          <w:szCs w:val="24"/>
        </w:rPr>
      </w:pPr>
    </w:p>
    <w:p w14:paraId="1F11D7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黑体" w:cs="黑体"/>
          <w:sz w:val="24"/>
          <w:szCs w:val="24"/>
        </w:rPr>
      </w:pPr>
      <w:r>
        <w:rPr>
          <w:rFonts w:hint="eastAsia" w:ascii="宋体" w:hAnsi="宋体" w:eastAsia="黑体" w:cs="黑体"/>
          <w:sz w:val="24"/>
          <w:szCs w:val="24"/>
          <w:lang w:val="en-US" w:eastAsia="zh-CN"/>
        </w:rPr>
        <w:t>一、</w:t>
      </w:r>
      <w:r>
        <w:rPr>
          <w:rFonts w:hint="eastAsia" w:ascii="宋体" w:hAnsi="宋体" w:eastAsia="黑体" w:cs="黑体"/>
          <w:sz w:val="24"/>
          <w:szCs w:val="24"/>
        </w:rPr>
        <w:t>《深圳计量文化公园建设项目决策方案》（以下简称《方案》）制定的背景和目标任务是什么？</w:t>
      </w:r>
    </w:p>
    <w:p w14:paraId="25668728">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一）制定背景</w:t>
      </w:r>
    </w:p>
    <w:p w14:paraId="2C19D31D">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18030" w:cs="方正仿宋_GB18030"/>
          <w:sz w:val="24"/>
          <w:szCs w:val="24"/>
        </w:rPr>
      </w:pPr>
      <w:r>
        <w:rPr>
          <w:rFonts w:hint="eastAsia" w:ascii="宋体" w:hAnsi="宋体" w:eastAsia="方正仿宋_GB18030" w:cs="方正仿宋_GB18030"/>
          <w:sz w:val="24"/>
          <w:szCs w:val="24"/>
        </w:rPr>
        <w:t>深圳计量文化公园建设项目决策实施</w:t>
      </w:r>
      <w:r>
        <w:rPr>
          <w:rFonts w:hint="eastAsia" w:ascii="宋体" w:hAnsi="宋体" w:eastAsia="方正仿宋_GB18030" w:cs="方正仿宋_GB18030"/>
          <w:sz w:val="24"/>
          <w:szCs w:val="24"/>
          <w:lang w:val="en-US" w:eastAsia="zh-CN"/>
        </w:rPr>
        <w:t>系</w:t>
      </w:r>
      <w:r>
        <w:rPr>
          <w:rFonts w:hint="eastAsia" w:ascii="宋体" w:hAnsi="宋体" w:eastAsia="方正仿宋_GB18030" w:cs="方正仿宋_GB18030"/>
          <w:sz w:val="24"/>
          <w:szCs w:val="24"/>
        </w:rPr>
        <w:t>根据《福田区政府工作报告（202</w:t>
      </w:r>
      <w:r>
        <w:rPr>
          <w:rFonts w:hint="eastAsia" w:ascii="宋体" w:hAnsi="宋体" w:eastAsia="方正仿宋_GB18030" w:cs="方正仿宋_GB18030"/>
          <w:sz w:val="24"/>
          <w:szCs w:val="24"/>
          <w:lang w:val="en-US" w:eastAsia="zh-CN"/>
        </w:rPr>
        <w:t>3</w:t>
      </w:r>
      <w:r>
        <w:rPr>
          <w:rFonts w:hint="eastAsia" w:ascii="宋体" w:hAnsi="宋体" w:eastAsia="方正仿宋_GB18030" w:cs="方正仿宋_GB18030"/>
          <w:sz w:val="24"/>
          <w:szCs w:val="24"/>
        </w:rPr>
        <w:t>）》、《深圳市国家森林城市建设总体规划（2016-2025）》以及《深圳市公园城市建设总体规划暨三年行动计划(2022-2024年)》相关工作要求，为创新计量文化宣传形式，打造计量文化科普宣传阵地，全面提升绿化景观品质，扩大深圳主题文化公园选题范围，展现深圳主题文化公园多元化特色，以城市绿色公共空间建设引领城市建设发展和品质提升，打造高品位、高品质的城市绿化生态环境，推动深圳践行创新驱动、打造高质量发展高地的战略定位，探索新型城乡人居环境建设理念和理想城市建构模式开展</w:t>
      </w:r>
      <w:r>
        <w:rPr>
          <w:rFonts w:hint="eastAsia" w:ascii="宋体" w:hAnsi="宋体" w:eastAsia="方正仿宋_GB18030" w:cs="方正仿宋_GB18030"/>
          <w:sz w:val="24"/>
          <w:szCs w:val="24"/>
          <w:lang w:val="en-US" w:eastAsia="zh-CN"/>
        </w:rPr>
        <w:t>的</w:t>
      </w:r>
      <w:r>
        <w:rPr>
          <w:rFonts w:hint="eastAsia" w:ascii="宋体" w:hAnsi="宋体" w:eastAsia="方正仿宋_GB18030" w:cs="方正仿宋_GB18030"/>
          <w:sz w:val="24"/>
          <w:szCs w:val="24"/>
        </w:rPr>
        <w:t>社区公园建设活动。</w:t>
      </w:r>
    </w:p>
    <w:p w14:paraId="695A64B7">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楷体" w:hAnsi="楷体" w:eastAsia="楷体" w:cs="楷体"/>
          <w:b/>
          <w:bCs/>
          <w:sz w:val="24"/>
          <w:szCs w:val="24"/>
          <w:lang w:val="en-US" w:eastAsia="zh-CN"/>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二）目标任务</w:t>
      </w:r>
    </w:p>
    <w:p w14:paraId="7D950CC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18030" w:cs="方正仿宋_GB18030"/>
          <w:sz w:val="24"/>
          <w:szCs w:val="24"/>
        </w:rPr>
      </w:pPr>
      <w:r>
        <w:rPr>
          <w:rFonts w:hint="eastAsia" w:ascii="宋体" w:hAnsi="宋体" w:eastAsia="方正仿宋_GB18030" w:cs="方正仿宋_GB18030"/>
          <w:sz w:val="24"/>
          <w:szCs w:val="24"/>
        </w:rPr>
        <w:t>项目拟对原有公园即绿谷公园进行升级改造，围绕“计量”这一主题，融合计量单位制、历史、文物、典故、成语、名言、计量基础知识等内容，以碑刻、雕塑、展板、互动体验等形式，建立包含计量文化广场区、计量科技驿站区、计量生活体验区和度量衡趣味花园的文化公园，打造市民高品质休闲的特色公共空间、弘扬计量文化的城市特色名片和提高计量科学认知的特色科普载体。</w:t>
      </w:r>
    </w:p>
    <w:p w14:paraId="074332E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黑体" w:cs="黑体"/>
          <w:sz w:val="24"/>
          <w:szCs w:val="24"/>
        </w:rPr>
      </w:pPr>
      <w:r>
        <w:rPr>
          <w:rFonts w:hint="eastAsia" w:ascii="宋体" w:hAnsi="宋体" w:eastAsia="黑体" w:cs="黑体"/>
          <w:sz w:val="24"/>
          <w:szCs w:val="24"/>
        </w:rPr>
        <w:t>　　二、《</w:t>
      </w:r>
      <w:r>
        <w:rPr>
          <w:rFonts w:hint="eastAsia" w:ascii="宋体" w:hAnsi="宋体" w:eastAsia="黑体" w:cs="黑体"/>
          <w:sz w:val="24"/>
          <w:szCs w:val="24"/>
          <w:lang w:val="en-US" w:eastAsia="zh-CN"/>
        </w:rPr>
        <w:t>方案</w:t>
      </w:r>
      <w:r>
        <w:rPr>
          <w:rFonts w:hint="eastAsia" w:ascii="宋体" w:hAnsi="宋体" w:eastAsia="黑体" w:cs="黑体"/>
          <w:sz w:val="24"/>
          <w:szCs w:val="24"/>
        </w:rPr>
        <w:t>》</w:t>
      </w:r>
      <w:r>
        <w:rPr>
          <w:rFonts w:hint="eastAsia" w:ascii="宋体" w:hAnsi="宋体" w:eastAsia="黑体" w:cs="黑体"/>
          <w:sz w:val="24"/>
          <w:szCs w:val="24"/>
          <w:lang w:val="en-US" w:eastAsia="zh-CN"/>
        </w:rPr>
        <w:t>制定的依据</w:t>
      </w:r>
      <w:r>
        <w:rPr>
          <w:rFonts w:hint="eastAsia" w:ascii="宋体" w:hAnsi="宋体" w:eastAsia="黑体" w:cs="黑体"/>
          <w:sz w:val="24"/>
          <w:szCs w:val="24"/>
        </w:rPr>
        <w:t>有哪些？</w:t>
      </w:r>
    </w:p>
    <w:p w14:paraId="4DE2C3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18030" w:cs="方正仿宋_GB18030"/>
          <w:sz w:val="24"/>
          <w:szCs w:val="24"/>
        </w:rPr>
      </w:pPr>
      <w:r>
        <w:rPr>
          <w:rFonts w:hint="eastAsia" w:ascii="宋体" w:hAnsi="宋体" w:eastAsia="方正仿宋_GB18030" w:cs="方正仿宋_GB18030"/>
          <w:sz w:val="24"/>
          <w:szCs w:val="24"/>
        </w:rPr>
        <w:t>　　</w:t>
      </w: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一）</w:t>
      </w:r>
      <w:r>
        <w:rPr>
          <w:rFonts w:hint="eastAsia" w:ascii="楷体" w:hAnsi="楷体" w:eastAsia="楷体" w:cs="楷体"/>
          <w:b/>
          <w:bCs/>
          <w:sz w:val="24"/>
          <w:szCs w:val="24"/>
          <w:lang w:eastAsia="zh-CN"/>
        </w:rPr>
        <w:t>国家法律、法规、规章、政策依据</w:t>
      </w:r>
    </w:p>
    <w:p w14:paraId="7860F8B3">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18030" w:cs="方正仿宋_GB18030"/>
          <w:sz w:val="24"/>
          <w:szCs w:val="24"/>
        </w:rPr>
      </w:pP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lang w:val="en-US" w:eastAsia="zh-CN"/>
        </w:rPr>
        <w:t>城市绿化条例》</w:t>
      </w:r>
      <w:r>
        <w:rPr>
          <w:rFonts w:hint="eastAsia" w:ascii="宋体" w:hAnsi="宋体" w:eastAsia="方正仿宋_GB18030" w:cs="方正仿宋_GB18030"/>
          <w:sz w:val="24"/>
          <w:szCs w:val="24"/>
        </w:rPr>
        <w:t>《中共中央国务院关于支持深圳建设中国特色社会主义先行示范区的意见》《中共中央关于坚持和完善中国特色社会主义制度、推进国家治理体系和治理能力现代化若干重大问题的决定》《中共中央关于制定国民经济和社会发展第十四个五年规划和二〇三五年远景目标的建议》《国务院关于印发计量发展规划（2021—2035年）的通知》《市场监管总局关于加强国家产业计量测试中心建设的指导意见》（国市监计量〔2020〕79 号）《公园设计规范》(GB 51192-2016)</w:t>
      </w:r>
    </w:p>
    <w:p w14:paraId="44CFFBD4">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二）</w:t>
      </w:r>
      <w:r>
        <w:rPr>
          <w:rFonts w:hint="eastAsia" w:ascii="楷体" w:hAnsi="楷体" w:eastAsia="楷体" w:cs="楷体"/>
          <w:b/>
          <w:bCs/>
          <w:sz w:val="24"/>
          <w:szCs w:val="24"/>
          <w:lang w:eastAsia="zh-CN"/>
        </w:rPr>
        <w:t>广东省、深圳市法规、规章、政策、标准依据</w:t>
      </w:r>
    </w:p>
    <w:p w14:paraId="55B832B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18030" w:cs="方正仿宋_GB18030"/>
          <w:sz w:val="24"/>
          <w:szCs w:val="24"/>
        </w:rPr>
      </w:pP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关于深入推进绿美广东生态建设的实施方案》《深圳经济特区绿化条例》（2019）《深圳市城市规划条例》（2021）《深圳经济特区城市园林条例》(2019)《深圳市政府工作报告（2023）》《深圳市城市规划标准与准则》(2022）《深圳市绿地系统规划》(2014-2030）《深圳市国家森林城市建设总体规划（2016-2025）》《深圳市公园城市总体规划暨三年行动计划（2022-2024年）》《深圳市社区公园建设标准》(2015年10月评审修改稿）《深圳市贯彻落实计量发展规划实施方案》《深圳市城市管理和综合执法局关于落实“山海连城绿美深圳”生态建设工作的实施方案》</w:t>
      </w:r>
    </w:p>
    <w:p w14:paraId="46160219">
      <w:pPr>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eastAsia" w:ascii="楷体" w:hAnsi="楷体" w:eastAsia="楷体" w:cs="楷体"/>
          <w:b/>
          <w:bCs/>
          <w:sz w:val="24"/>
          <w:szCs w:val="24"/>
          <w:lang w:eastAsia="zh-CN"/>
        </w:rPr>
      </w:pPr>
      <w:r>
        <w:rPr>
          <w:rFonts w:hint="eastAsia" w:ascii="楷体" w:hAnsi="楷体" w:eastAsia="楷体" w:cs="楷体"/>
          <w:b/>
          <w:bCs/>
          <w:sz w:val="24"/>
          <w:szCs w:val="24"/>
          <w:lang w:eastAsia="zh-CN"/>
        </w:rPr>
        <w:t>（</w:t>
      </w:r>
      <w:r>
        <w:rPr>
          <w:rFonts w:hint="eastAsia" w:ascii="楷体" w:hAnsi="楷体" w:eastAsia="楷体" w:cs="楷体"/>
          <w:b/>
          <w:bCs/>
          <w:sz w:val="24"/>
          <w:szCs w:val="24"/>
          <w:lang w:val="en-US" w:eastAsia="zh-CN"/>
        </w:rPr>
        <w:t>三）</w:t>
      </w:r>
      <w:r>
        <w:rPr>
          <w:rFonts w:hint="eastAsia" w:ascii="楷体" w:hAnsi="楷体" w:eastAsia="楷体" w:cs="楷体"/>
          <w:b/>
          <w:bCs/>
          <w:sz w:val="24"/>
          <w:szCs w:val="24"/>
          <w:lang w:eastAsia="zh-CN"/>
        </w:rPr>
        <w:t>福田区政策、标准依据</w:t>
      </w:r>
    </w:p>
    <w:p w14:paraId="1D934460">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18030" w:cs="方正仿宋_GB18030"/>
          <w:sz w:val="24"/>
          <w:szCs w:val="24"/>
        </w:rPr>
      </w:pPr>
      <w:r>
        <w:rPr>
          <w:rFonts w:hint="eastAsia" w:ascii="宋体" w:hAnsi="宋体" w:eastAsia="方正仿宋_GB18030" w:cs="方正仿宋_GB18030"/>
          <w:sz w:val="24"/>
          <w:szCs w:val="24"/>
          <w:lang w:eastAsia="zh-CN"/>
        </w:rPr>
        <w:t>《“山海连城绿美福田”生态建设工作实施方案》</w:t>
      </w:r>
      <w:r>
        <w:rPr>
          <w:rFonts w:hint="eastAsia" w:ascii="宋体" w:hAnsi="宋体" w:eastAsia="方正仿宋_GB18030" w:cs="方正仿宋_GB18030"/>
          <w:sz w:val="24"/>
          <w:szCs w:val="24"/>
        </w:rPr>
        <w:t>《福田区法定图则》《福田区政府工作报告（2023）》《福田区立体绿化普查与规划建设发展纲要》</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福田区城市管理与服务</w:t>
      </w:r>
      <w:r>
        <w:rPr>
          <w:rFonts w:hint="eastAsia" w:ascii="宋体" w:hAnsi="宋体" w:eastAsia="方正仿宋_GB18030" w:cs="方正仿宋_GB18030"/>
          <w:sz w:val="24"/>
          <w:szCs w:val="24"/>
          <w:lang w:eastAsia="zh-CN"/>
        </w:rPr>
        <w:t>“十四五”规划</w:t>
      </w:r>
      <w:r>
        <w:rPr>
          <w:rFonts w:hint="eastAsia" w:ascii="宋体" w:hAnsi="宋体" w:eastAsia="方正仿宋_GB18030" w:cs="方正仿宋_GB18030"/>
          <w:sz w:val="24"/>
          <w:szCs w:val="24"/>
        </w:rPr>
        <w:t>》</w:t>
      </w:r>
    </w:p>
    <w:p w14:paraId="3B2A9D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18030" w:cs="方正仿宋_GB18030"/>
          <w:sz w:val="24"/>
          <w:szCs w:val="24"/>
        </w:rPr>
      </w:pPr>
      <w:r>
        <w:rPr>
          <w:rFonts w:hint="eastAsia" w:ascii="宋体" w:hAnsi="宋体" w:eastAsia="方正仿宋_GB18030" w:cs="方正仿宋_GB18030"/>
          <w:sz w:val="24"/>
          <w:szCs w:val="24"/>
        </w:rPr>
        <w:t>　　</w:t>
      </w:r>
      <w:r>
        <w:rPr>
          <w:rFonts w:hint="eastAsia" w:ascii="宋体" w:hAnsi="宋体" w:eastAsia="黑体" w:cs="黑体"/>
          <w:sz w:val="24"/>
          <w:szCs w:val="24"/>
          <w:lang w:val="en-US" w:eastAsia="zh-CN"/>
        </w:rPr>
        <w:t>三</w:t>
      </w:r>
      <w:r>
        <w:rPr>
          <w:rFonts w:hint="eastAsia" w:ascii="宋体" w:hAnsi="宋体" w:eastAsia="黑体" w:cs="黑体"/>
          <w:sz w:val="24"/>
          <w:szCs w:val="24"/>
        </w:rPr>
        <w:t>、《</w:t>
      </w:r>
      <w:r>
        <w:rPr>
          <w:rFonts w:hint="eastAsia" w:ascii="宋体" w:hAnsi="宋体" w:eastAsia="黑体" w:cs="黑体"/>
          <w:sz w:val="24"/>
          <w:szCs w:val="24"/>
          <w:lang w:val="en-US" w:eastAsia="zh-CN"/>
        </w:rPr>
        <w:t>方案</w:t>
      </w:r>
      <w:r>
        <w:rPr>
          <w:rFonts w:hint="eastAsia" w:ascii="宋体" w:hAnsi="宋体" w:eastAsia="黑体" w:cs="黑体"/>
          <w:sz w:val="24"/>
          <w:szCs w:val="24"/>
        </w:rPr>
        <w:t>》的主要内容有哪些？</w:t>
      </w:r>
    </w:p>
    <w:p w14:paraId="4902A7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18030" w:cs="方正仿宋_GB18030"/>
          <w:sz w:val="24"/>
          <w:szCs w:val="24"/>
        </w:rPr>
      </w:pPr>
      <w:r>
        <w:rPr>
          <w:rFonts w:hint="eastAsia" w:ascii="宋体" w:hAnsi="宋体" w:eastAsia="方正仿宋_GB18030" w:cs="方正仿宋_GB18030"/>
          <w:sz w:val="24"/>
          <w:szCs w:val="24"/>
        </w:rPr>
        <w:t>　　《方案》内容共分为十章：第一章“总论”</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主要包含项目概况、编制依据、项目内容、项目经费、项目工期等内容</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第二章“项目背景”</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主要从四个方面阐述项目的背景：项目是持续发挥福田区创新引领作用，贯彻落实党的二十大报告“高质量发展”目标的具体行动；项目是深入推进“创建国家森林城市”，打造国际一流中心城区，提升深圳整体城市形象的必然要求；项目是促进现代计量技术发展、加快计量知识普及的重要方式；项目是完善深圳城市公园规划，发挥公园宣传阵地作用的现实要求</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第三章“决策依据”</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决策依据主要包含国家、部门法律、政策、标准依据，广东省、深圳市法规、规章、政策、标准依据，福田区政策、标准依据三个层面</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第四章“决策目标”</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决策的总体目标包括（一）加强学科和文化建设：建设中国特色社会主义先行示范区，创建深圳计量学科与文化知识宣传阵地；（二）建设多元城区：为深圳主题公园文化注入新鲜血液、打造先行示范区新名片；（三）完善城市绿化：营造绿化花城景观，提升城市形象与品味；（四）提升城区环境品质：形成超级城市公园网络，展现福田区强大的公园规划与卓越的公园社区文化</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第五章“工作任务”</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明确本项目工作任务系对现有绿谷公园进行升级改造，建立包含计量文化广场区、计量科技驿站区、计量生活体验区和度量衡趣味花园的文化公园，打造市民高品质休闲的特色公共空间、弘扬计量文化的城市特色名片和提高计量科</w:t>
      </w:r>
      <w:bookmarkStart w:id="0" w:name="_GoBack"/>
      <w:bookmarkEnd w:id="0"/>
      <w:r>
        <w:rPr>
          <w:rFonts w:hint="eastAsia" w:ascii="宋体" w:hAnsi="宋体" w:eastAsia="方正仿宋_GB18030" w:cs="方正仿宋_GB18030"/>
          <w:sz w:val="24"/>
          <w:szCs w:val="24"/>
        </w:rPr>
        <w:t>学认知的特色科普载体</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第六章“措施方法”</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明确本项目的实施标准，项目建设方案</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第七章“时间步骤”</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明确项目步骤主要包括前期工作阶段、施工建设阶段以及后期收尾阶段三个阶段及各阶段工作内容</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第八章“实施主体”</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明确本项目属于福田区重点城市景观和绿化建设项目，项目执行主体为深圳市福田区城市管理和综合执法局，住建部门、交通部门、规划部门、财政部门、生态环境部门、水务部门、发改部门、市监部门、公安部门等作为配合部门协助本项目开展实施工作，前期工作、建设工作由深圳市福田区城市管理和综合执法局负责组织开展</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第九章“经费预算”</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明确本项目总投资约3402.90万元，其中建安费2651.25万元，工程其他费用448.46万元，工程预备费247.98万元，代建费55.22万元。项目经费由福田区政府财政列支</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第十章“评估计划”</w:t>
      </w:r>
      <w:r>
        <w:rPr>
          <w:rFonts w:hint="eastAsia" w:ascii="宋体" w:hAnsi="宋体" w:eastAsia="方正仿宋_GB18030" w:cs="方正仿宋_GB18030"/>
          <w:sz w:val="24"/>
          <w:szCs w:val="24"/>
          <w:lang w:eastAsia="zh-CN"/>
        </w:rPr>
        <w:t>，</w:t>
      </w:r>
      <w:r>
        <w:rPr>
          <w:rFonts w:hint="eastAsia" w:ascii="宋体" w:hAnsi="宋体" w:eastAsia="方正仿宋_GB18030" w:cs="方正仿宋_GB18030"/>
          <w:sz w:val="24"/>
          <w:szCs w:val="24"/>
        </w:rPr>
        <w:t>明确决策后评估计划的评估内容和评估方式。</w:t>
      </w:r>
    </w:p>
    <w:p w14:paraId="797A93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黑体" w:cs="黑体"/>
          <w:sz w:val="24"/>
          <w:szCs w:val="24"/>
          <w:lang w:val="en-US" w:eastAsia="zh-CN"/>
        </w:rPr>
      </w:pPr>
      <w:r>
        <w:rPr>
          <w:rFonts w:hint="eastAsia" w:ascii="宋体" w:hAnsi="宋体" w:eastAsia="黑体" w:cs="黑体"/>
          <w:sz w:val="24"/>
          <w:szCs w:val="24"/>
          <w:lang w:val="en-US" w:eastAsia="zh-CN"/>
        </w:rPr>
        <w:t>四、《方案》制定主要经过哪些程序</w:t>
      </w:r>
    </w:p>
    <w:p w14:paraId="400FE3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80" w:firstLineChars="200"/>
        <w:textAlignment w:val="auto"/>
        <w:rPr>
          <w:rFonts w:hint="eastAsia" w:ascii="宋体" w:hAnsi="宋体" w:eastAsia="方正仿宋_GB18030" w:cs="方正仿宋_GB18030"/>
          <w:sz w:val="24"/>
          <w:szCs w:val="24"/>
          <w:lang w:val="en-US" w:eastAsia="zh-CN"/>
        </w:rPr>
      </w:pPr>
      <w:r>
        <w:rPr>
          <w:rFonts w:hint="eastAsia" w:ascii="宋体" w:hAnsi="宋体" w:eastAsia="方正仿宋_GB18030" w:cs="方正仿宋_GB18030"/>
          <w:sz w:val="24"/>
          <w:szCs w:val="24"/>
          <w:lang w:val="en-US" w:eastAsia="zh-CN"/>
        </w:rPr>
        <w:t xml:space="preserve">本《方案》的编制严格按照《重大行政决策程序暂行条例》《广东省重大行政决策程序规定》《深圳市重大行政决策程序实施办法》《福田区重大行政决策程序规定》《福田区重大行政决策工作全流程指引》等相关法律法规的要求，完成了公众参与（主要包括公众意见网络征集、召开听证会、召开专家论证会）、部门意见征集、合法性审查、集体讨论等工作，为最大程度保障项目决策科学、民主、合法，《方案》编制过程中充分采纳了公众意见、部门意见、专家意见、集体讨论等意见。 </w:t>
      </w:r>
    </w:p>
    <w:p w14:paraId="7F28E606">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黑体" w:cs="黑体"/>
          <w:sz w:val="24"/>
          <w:szCs w:val="24"/>
          <w:lang w:val="en-US" w:eastAsia="zh-CN"/>
        </w:rPr>
      </w:pPr>
      <w:r>
        <w:rPr>
          <w:rFonts w:hint="eastAsia" w:ascii="宋体" w:hAnsi="宋体" w:eastAsia="黑体" w:cs="黑体"/>
          <w:sz w:val="24"/>
          <w:szCs w:val="24"/>
          <w:lang w:val="en-US" w:eastAsia="zh-CN"/>
        </w:rPr>
        <w:t>五、《方案》有什么亮点特色？</w:t>
      </w:r>
    </w:p>
    <w:p w14:paraId="7E33245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宋体" w:hAnsi="宋体" w:eastAsia="方正仿宋_GB18030" w:cs="方正仿宋_GB18030"/>
          <w:sz w:val="24"/>
          <w:szCs w:val="24"/>
          <w:lang w:val="en-US" w:eastAsia="zh-CN"/>
        </w:rPr>
      </w:pPr>
      <w:r>
        <w:rPr>
          <w:rFonts w:hint="eastAsia" w:ascii="宋体" w:hAnsi="宋体" w:eastAsia="方正仿宋_GB18030" w:cs="方正仿宋_GB18030"/>
          <w:sz w:val="24"/>
          <w:szCs w:val="24"/>
          <w:lang w:val="en-US" w:eastAsia="zh-CN"/>
        </w:rPr>
        <w:t xml:space="preserve">   《方案》拟通过对绿谷公园的升级打造，建设深圳计量文化公园，《方案》计划打造一个以“计量文化、创新未来、自然生态”为核心的全国第一个新型智慧计量文化公园、粤港澳大湾区第一个计量文化公园、全国青少年计量科普教育基地、全国计量文化和科普资源创新基地，建设弘扬计量文化的城市特色新地标及计量科学特色科普载体。计量公园的建设在科普计量知识、满足市民休闲需求、打造特色公园、服务科技发展方面具有较高的社会价值。打造计量文化公园这一特色公共空间还可拓宽市民知识获取和交流渠道，满足市民日益增长的文化需求，实现市民的高品质休闲。建设计量文化公园也有利于扩大深圳主题文化公园选题范围，展现深圳主题文化公园多元化特色，借助计量知识设计建造一批富含科学性、趣味性与互动性的系列休闲活动设施，打造计量特色文化名片。此外，建设计量文化公园契合深圳践行创新驱动、打造高质量发展高地的战略定位，有利于提高市民对计量科学的认知水平，夯实计量知识的群众基础。                                                   </w:t>
      </w:r>
    </w:p>
    <w:p w14:paraId="77C95A9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18030" w:cs="方正仿宋_GB18030"/>
          <w:sz w:val="24"/>
          <w:szCs w:val="24"/>
        </w:rPr>
      </w:pPr>
    </w:p>
    <w:p w14:paraId="013380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18030" w:cs="方正仿宋_GB18030"/>
          <w:sz w:val="24"/>
          <w:szCs w:val="24"/>
        </w:rPr>
      </w:pPr>
    </w:p>
    <w:p w14:paraId="04EFB97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18030" w:cs="方正仿宋_GB18030"/>
          <w:sz w:val="24"/>
          <w:szCs w:val="24"/>
        </w:rPr>
      </w:pPr>
    </w:p>
    <w:p w14:paraId="1E245B5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方正仿宋_GB18030" w:cs="方正仿宋_GB1803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EE7852-5C2E-4A25-988E-402ECFD834C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ABD281C0-9AC9-4AFB-8CA0-9612C605D308}"/>
  </w:font>
  <w:font w:name="方正仿宋_GB18030">
    <w:altName w:val="仿宋"/>
    <w:panose1 w:val="02000000000000000000"/>
    <w:charset w:val="86"/>
    <w:family w:val="auto"/>
    <w:pitch w:val="default"/>
    <w:sig w:usb0="00000000" w:usb1="00000000" w:usb2="00000000" w:usb3="00000000" w:csb0="00040000" w:csb1="00000000"/>
    <w:embedRegular r:id="rId3" w:fontKey="{2802ADF6-9D31-41DE-99EF-7333C78C371C}"/>
  </w:font>
  <w:font w:name="楷体">
    <w:panose1 w:val="02010609060101010101"/>
    <w:charset w:val="86"/>
    <w:family w:val="auto"/>
    <w:pitch w:val="default"/>
    <w:sig w:usb0="800002BF" w:usb1="38CF7CFA" w:usb2="00000016" w:usb3="00000000" w:csb0="00040001" w:csb1="00000000"/>
    <w:embedRegular r:id="rId4" w:fontKey="{D2D6EC7E-3F91-4DE0-9089-D9DA93DBC9DF}"/>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xYzdhYjkxNzIzMzFhYTRhOGEzNzYyOGNmZjZmMGQifQ=="/>
  </w:docVars>
  <w:rsids>
    <w:rsidRoot w:val="20032B61"/>
    <w:rsid w:val="02C0796F"/>
    <w:rsid w:val="07941252"/>
    <w:rsid w:val="085E6213"/>
    <w:rsid w:val="09DC4672"/>
    <w:rsid w:val="0F8A7B26"/>
    <w:rsid w:val="13590E0E"/>
    <w:rsid w:val="1FA43158"/>
    <w:rsid w:val="20032B61"/>
    <w:rsid w:val="23533917"/>
    <w:rsid w:val="2E72361A"/>
    <w:rsid w:val="3F758D16"/>
    <w:rsid w:val="4AB3709E"/>
    <w:rsid w:val="53FBF1E2"/>
    <w:rsid w:val="66D97A4A"/>
    <w:rsid w:val="6D4E5AAD"/>
    <w:rsid w:val="73C07EA6"/>
    <w:rsid w:val="7AC65779"/>
    <w:rsid w:val="FFDDE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2719</Words>
  <Characters>2838</Characters>
  <Lines>0</Lines>
  <Paragraphs>0</Paragraphs>
  <TotalTime>43</TotalTime>
  <ScaleCrop>false</ScaleCrop>
  <LinksUpToDate>false</LinksUpToDate>
  <CharactersWithSpaces>2903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2023-12-07T15:16:00Z</dcterms:created>
  <dc:creator>律师</dc:creator>
  <cp:lastModifiedBy>sumsum25</cp:lastModifiedBy>
  <dcterms:modified xsi:type="dcterms:W3CDTF">2024-10-15T08:29:50Z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7835206407494EE58317C8FBE1B1F0A5_13</vt:lpwstr>
  </property>
</Properties>
</file>