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FB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深圳计量文化公园建设项目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决策方案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》的起草说明</w:t>
      </w:r>
    </w:p>
    <w:p w14:paraId="13C46094">
      <w:pPr>
        <w:rPr>
          <w:rFonts w:hint="eastAsia"/>
        </w:rPr>
      </w:pPr>
    </w:p>
    <w:p w14:paraId="5D9F2F7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4" w:right="110" w:firstLine="629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为创新计量文化宣传形式，打造计量文化科普宣传阵地，全面提升绿化景观品质，扩大深圳主题文化公园选题范围，展现深圳主题文化公园多元化特色，以城市绿色公共空间建设引领城市建设发展和品质提升，打造高品位、高品质的城市绿化生态环境，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推动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深圳践行创新驱动、打造高质量发展高地的战略定位，探索新型城乡人居环境建设理念和理想城市建构模式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根据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《深圳市国家森林城市建设总体规划（2016-2025）》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《福田区政府工作报告（202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）》要求，结合我区实际，我局起草了《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深圳计量文化公园建设项目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决策方案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征求意见稿）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》（以下简称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决策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方案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），现就有关情况说明如下：</w:t>
      </w:r>
    </w:p>
    <w:p w14:paraId="5121F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一、起草的必要性</w:t>
      </w:r>
    </w:p>
    <w:p w14:paraId="1ADC1EF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4" w:right="110" w:firstLine="629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党的二十大报告提出质量强国，明确“高质量发展是全面建设社会主义现代化国家的首要任务”。计量是科技进步、社会发展的根底，计量是基础、标准是依据、质量是目的，国家高度重视计量及计量文化发展,党的二十大报告中提出加快建设社会主义“文化强国、质量强国、制造强国”，实现强国目标离不开计量的支撑。深圳从“先行先试”到“先行示范”，自始至终践行创新驱动发展理念、打造高质量发展“先行示范”高地的战略地位，不断完善全过程创新生态链，加快构建融入全球的现代产业体系。深圳高质量发展之路稳中有进，凸显“深圳速度”“深圳质量”与“深圳效益”，这一切都离不开计量技术的支撑，建设深圳计量文化公园有利于提高市民对计量科学的认知水平，为深圳高质量发展储备人才，夯实计量知识的群众基础，培养支撑深圳“高质量发展”坚实的基础队伍力量。</w:t>
      </w:r>
    </w:p>
    <w:p w14:paraId="4763A7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4" w:right="110" w:firstLine="629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当前，在习近平生态文明思想引领下，深圳正在加快公园城市建设，力图更加全面深刻地诠释公园城市的深圳内涵和深圳特色，将自然的公园形态与高度的城市文明有机融合，为未来的都市生活提供更加精彩的深圳方案。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牢固树立和践行“绿水青山就是金山银山”理念，牢牢抓住高质量建设“国际红树林中心”的重大历史机遇，凝心聚力，奋勇向前，在落实绿美广东上率先突破，努力创建高度繁荣而又满眼绿美的典范城区，为实现人与自然和谐共生的现代化贡献福田力量。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2021年12月，深圳市规划和自然资源局、深圳市城市管理和综合执法局发布《深圳市公园城市建设总体规划暨三年行动计划(2022-2024年)》，提出“山海连城、公园深圳”的愿景目标，通过实施山海连城、生态筑城、公园融城、人文趣城四大行动计划，构筑一个通山、达海、贯城、串趣的公园深圳。其中福田区安托山山海通廊将推进“塘朗山—安托山—绿谷公园—园博园—红树林”西部山海通廊建设，打造山、海、城一体化都市生态游憩网。</w:t>
      </w:r>
    </w:p>
    <w:p w14:paraId="12F33E0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4" w:right="110" w:firstLine="629"/>
        <w:jc w:val="both"/>
        <w:textAlignment w:val="baseline"/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为了更好地推动落实“山海连城、绿美深圳计划”。本项目围绕“计量”这一主题，建设深圳计量文化公园，有助于传播计量文化、普及计量知识，增强文化自信，也将进一步增强深圳公园文化的多样性，完善深圳公园规划体系，促进城市绿化建设的可持续发展和景观品质的不断提升，提升深圳整体城市形象与品质。</w:t>
      </w:r>
    </w:p>
    <w:p w14:paraId="06C59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二、主要依据</w:t>
      </w:r>
    </w:p>
    <w:p w14:paraId="2674A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项目决策方案编制的主要依据如下：</w:t>
      </w:r>
    </w:p>
    <w:p w14:paraId="4CDE88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7"/>
        <w:textAlignment w:val="baseline"/>
        <w:outlineLvl w:val="1"/>
        <w:rPr>
          <w:rFonts w:hint="eastAsia" w:ascii="楷体" w:hAnsi="楷体" w:eastAsia="楷体" w:cs="楷体"/>
          <w:sz w:val="32"/>
          <w:szCs w:val="32"/>
        </w:rPr>
      </w:pPr>
      <w:bookmarkStart w:id="0" w:name="_Toc28219"/>
      <w:r>
        <w:rPr>
          <w:rFonts w:hint="eastAsia" w:ascii="楷体" w:hAnsi="楷体" w:eastAsia="楷体" w:cs="楷体"/>
          <w:spacing w:val="-2"/>
          <w:sz w:val="32"/>
          <w:szCs w:val="32"/>
          <w:lang w:val="en-US" w:eastAsia="zh-CN"/>
        </w:rPr>
        <w:t>(一）</w:t>
      </w:r>
      <w:r>
        <w:rPr>
          <w:rFonts w:hint="eastAsia" w:ascii="楷体" w:hAnsi="楷体" w:eastAsia="楷体" w:cs="楷体"/>
          <w:spacing w:val="-2"/>
          <w:sz w:val="32"/>
          <w:szCs w:val="32"/>
        </w:rPr>
        <w:t>国家</w:t>
      </w:r>
      <w:r>
        <w:rPr>
          <w:rFonts w:hint="eastAsia" w:ascii="楷体" w:hAnsi="楷体" w:eastAsia="楷体" w:cs="楷体"/>
          <w:spacing w:val="-2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pacing w:val="-2"/>
          <w:sz w:val="32"/>
          <w:szCs w:val="32"/>
          <w:lang w:val="en-US" w:eastAsia="zh-CN"/>
        </w:rPr>
        <w:t>部门</w:t>
      </w:r>
      <w:r>
        <w:rPr>
          <w:rFonts w:hint="eastAsia" w:ascii="楷体" w:hAnsi="楷体" w:eastAsia="楷体" w:cs="楷体"/>
          <w:spacing w:val="-2"/>
          <w:sz w:val="32"/>
          <w:szCs w:val="32"/>
        </w:rPr>
        <w:t>法律、政策、标准依据</w:t>
      </w:r>
      <w:bookmarkEnd w:id="0"/>
    </w:p>
    <w:p w14:paraId="7F0DB7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4" w:right="110" w:firstLine="629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bookmarkStart w:id="1" w:name="_Toc31053"/>
      <w:r>
        <w:rPr>
          <w:rFonts w:ascii="仿宋" w:hAnsi="仿宋" w:eastAsia="仿宋" w:cs="仿宋"/>
          <w:spacing w:val="12"/>
          <w:sz w:val="32"/>
          <w:szCs w:val="32"/>
        </w:rPr>
        <w:t>《中共中央国务院关于支持深圳建设中国特色社会主</w:t>
      </w:r>
      <w:r>
        <w:rPr>
          <w:rFonts w:ascii="仿宋" w:hAnsi="仿宋" w:eastAsia="仿宋" w:cs="仿宋"/>
          <w:spacing w:val="-3"/>
          <w:sz w:val="32"/>
          <w:szCs w:val="32"/>
        </w:rPr>
        <w:t>义先行示范区的意见》</w:t>
      </w:r>
    </w:p>
    <w:p w14:paraId="6B0F0D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5" w:right="107" w:firstLine="628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《中共中央关于坚持和完善中国特色社会主义制度、推进国家治理体系和治理能力现代化若干重大问题的决定》</w:t>
      </w:r>
    </w:p>
    <w:p w14:paraId="766AEB4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9" w:right="110" w:firstLine="624"/>
        <w:jc w:val="both"/>
        <w:textAlignment w:val="baseline"/>
        <w:rPr>
          <w:rFonts w:ascii="仿宋" w:hAnsi="仿宋" w:eastAsia="仿宋" w:cs="仿宋"/>
          <w:spacing w:val="-2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《中共中央关于制定国民经济和社会发展第十四个五</w:t>
      </w:r>
      <w:r>
        <w:rPr>
          <w:rFonts w:ascii="仿宋" w:hAnsi="仿宋" w:eastAsia="仿宋" w:cs="仿宋"/>
          <w:spacing w:val="-2"/>
          <w:sz w:val="32"/>
          <w:szCs w:val="32"/>
        </w:rPr>
        <w:t>年规划和二〇三五年远景目标的建议》</w:t>
      </w:r>
    </w:p>
    <w:p w14:paraId="574A006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39" w:right="110" w:firstLine="624"/>
        <w:jc w:val="both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《国务院关于印发计量发展规划（2021—2035年）的通知》</w:t>
      </w:r>
    </w:p>
    <w:p w14:paraId="58715B6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《市场监管总局关于加强国家产业计量测试中心建设的指导意见》（国市监计量〔2020〕79号）</w:t>
      </w:r>
    </w:p>
    <w:p w14:paraId="333A04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jc w:val="both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《公园设计规范》(GB51192-2016)</w:t>
      </w:r>
    </w:p>
    <w:p w14:paraId="49FE48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ind w:firstLine="669"/>
        <w:textAlignment w:val="baseline"/>
        <w:outlineLvl w:val="1"/>
        <w:rPr>
          <w:rFonts w:hint="eastAsia" w:ascii="楷体" w:hAnsi="楷体" w:eastAsia="楷体" w:cs="楷体"/>
          <w:spacing w:val="-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"/>
          <w:sz w:val="32"/>
          <w:szCs w:val="32"/>
          <w:lang w:val="en-US" w:eastAsia="zh-CN"/>
        </w:rPr>
        <w:t>（二）</w:t>
      </w:r>
      <w:bookmarkEnd w:id="1"/>
      <w:r>
        <w:rPr>
          <w:rFonts w:hint="eastAsia" w:ascii="楷体" w:hAnsi="楷体" w:eastAsia="楷体" w:cs="楷体"/>
          <w:spacing w:val="-2"/>
          <w:sz w:val="32"/>
          <w:szCs w:val="32"/>
          <w:lang w:val="en-US" w:eastAsia="zh-CN"/>
        </w:rPr>
        <w:t>广东省、深圳市法规、规章、政策、标准依据</w:t>
      </w:r>
    </w:p>
    <w:p w14:paraId="1FEAD21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54" w:leftChars="304" w:hanging="316" w:hangingChars="1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《关于深入推进绿美广东生态建设的实施方案》</w:t>
      </w:r>
    </w:p>
    <w:p w14:paraId="5AE697C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54" w:leftChars="304" w:hanging="316" w:hangingChars="1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《深圳经济特区绿化条例》（2019）</w:t>
      </w:r>
    </w:p>
    <w:p w14:paraId="2C5E1CB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54" w:leftChars="304" w:hanging="316" w:hangingChars="1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《深圳市城市规划条例》（2021）</w:t>
      </w:r>
    </w:p>
    <w:p w14:paraId="7C297D9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54" w:leftChars="304" w:hanging="316" w:hangingChars="1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《深圳经济特区城市园林条例》(2019)</w:t>
      </w:r>
    </w:p>
    <w:p w14:paraId="4EF974C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54" w:leftChars="304" w:hanging="316" w:hangingChars="1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《深圳市城市规划标准与准则》(2022）</w:t>
      </w:r>
    </w:p>
    <w:p w14:paraId="60DD2A8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54" w:leftChars="304" w:hanging="316" w:hangingChars="1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《深圳市绿地系统规划》(2014-2030）</w:t>
      </w:r>
    </w:p>
    <w:p w14:paraId="7AB14AA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54" w:leftChars="304" w:hanging="316" w:hangingChars="1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《深圳市国家森林城市建设总体规划（2016-2025）》</w:t>
      </w:r>
    </w:p>
    <w:p w14:paraId="453B65A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54" w:leftChars="304" w:hanging="316" w:hangingChars="1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《深圳市公园城市总体规划暨三年行动计划</w:t>
      </w:r>
    </w:p>
    <w:p w14:paraId="457AF09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54" w:leftChars="304" w:hanging="316" w:hangingChars="100"/>
        <w:textAlignment w:val="baseline"/>
        <w:rPr>
          <w:rFonts w:hint="eastAsia" w:ascii="仿宋" w:hAnsi="仿宋" w:eastAsia="仿宋" w:cs="仿宋"/>
          <w:spacing w:val="-2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（2022-2024年）》</w:t>
      </w:r>
    </w:p>
    <w:p w14:paraId="57A4958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954" w:leftChars="304" w:hanging="316" w:hangingChars="100"/>
        <w:textAlignment w:val="baseline"/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深圳市社区公园建设标准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(2015年10月评审修改稿）</w:t>
      </w:r>
    </w:p>
    <w:p w14:paraId="0EA156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《深圳市贯彻落实计量发展规划实施方案》</w:t>
      </w:r>
    </w:p>
    <w:p w14:paraId="64A8EF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36" w:firstLineChars="200"/>
        <w:textAlignment w:val="baseline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《深圳市城市管理和综合执法局关于落实“山海连城绿美深圳”生态建设工作的实施方案》</w:t>
      </w:r>
    </w:p>
    <w:p w14:paraId="2380DF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firstLine="0" w:firstLineChars="0"/>
        <w:textAlignment w:val="baseline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《福田区法定图则》</w:t>
      </w:r>
    </w:p>
    <w:p w14:paraId="4AD793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《福田区政府工作报告（202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9"/>
          <w:sz w:val="32"/>
          <w:szCs w:val="32"/>
        </w:rPr>
        <w:t>）》</w:t>
      </w:r>
    </w:p>
    <w:p w14:paraId="0CB112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/>
        <w:textAlignment w:val="baseline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《福田区立体绿化普查与规划建设发展纲要》</w:t>
      </w:r>
    </w:p>
    <w:p w14:paraId="1D9B6D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/>
        <w:textAlignment w:val="baseline"/>
        <w:rPr>
          <w:rFonts w:hint="eastAsia" w:ascii="仿宋" w:hAnsi="仿宋" w:eastAsia="仿宋" w:cs="仿宋"/>
          <w:spacing w:val="-1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《福田区城市管理与服务“十四五”规划》</w:t>
      </w:r>
    </w:p>
    <w:p w14:paraId="24DE0E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60" w:lineRule="exact"/>
        <w:ind w:firstLine="669"/>
        <w:textAlignment w:val="baseline"/>
        <w:outlineLvl w:val="1"/>
        <w:rPr>
          <w:rFonts w:hint="eastAsia" w:ascii="楷体" w:hAnsi="楷体" w:eastAsia="楷体" w:cs="楷体"/>
          <w:spacing w:val="-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"/>
          <w:sz w:val="32"/>
          <w:szCs w:val="32"/>
          <w:lang w:val="en-US" w:eastAsia="zh-CN"/>
        </w:rPr>
        <w:t>（三）福田区政策、标准依据</w:t>
      </w:r>
    </w:p>
    <w:p w14:paraId="145300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638" w:leftChars="304" w:firstLine="0" w:firstLineChars="0"/>
        <w:textAlignment w:val="baseline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《福田区法定图则》</w:t>
      </w:r>
    </w:p>
    <w:p w14:paraId="1449A2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《福田区政府工作报告（202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pacing w:val="-9"/>
          <w:sz w:val="32"/>
          <w:szCs w:val="32"/>
        </w:rPr>
        <w:t>）》</w:t>
      </w:r>
    </w:p>
    <w:p w14:paraId="3C48ADE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/>
        <w:textAlignment w:val="baseline"/>
        <w:rPr>
          <w:rFonts w:ascii="仿宋" w:hAnsi="仿宋" w:eastAsia="仿宋" w:cs="仿宋"/>
          <w:spacing w:val="-1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《福田区立体绿化普查与规划建设发展纲要》</w:t>
      </w:r>
    </w:p>
    <w:p w14:paraId="281ADB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63"/>
        <w:textAlignment w:val="baseline"/>
      </w:pPr>
      <w:r>
        <w:rPr>
          <w:rFonts w:hint="eastAsia" w:ascii="仿宋" w:hAnsi="仿宋" w:eastAsia="仿宋" w:cs="仿宋"/>
          <w:spacing w:val="-1"/>
          <w:sz w:val="32"/>
          <w:szCs w:val="32"/>
        </w:rPr>
        <w:t>《福田区城市管理与服务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十四五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规划》</w:t>
      </w:r>
    </w:p>
    <w:p w14:paraId="2DDFC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三、主要内容的说明</w:t>
      </w:r>
    </w:p>
    <w:p w14:paraId="3C40D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决策</w:t>
      </w:r>
      <w:r>
        <w:rPr>
          <w:rFonts w:hint="eastAsia" w:ascii="仿宋" w:hAnsi="仿宋" w:eastAsia="仿宋" w:cs="仿宋"/>
          <w:sz w:val="32"/>
          <w:szCs w:val="32"/>
        </w:rPr>
        <w:t>方案》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共分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十章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0FB67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第一章“总论”。主要包含项目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概况</w:t>
      </w:r>
      <w:r>
        <w:rPr>
          <w:rFonts w:hint="eastAsia" w:ascii="仿宋" w:hAnsi="仿宋" w:eastAsia="仿宋" w:cs="仿宋"/>
          <w:sz w:val="32"/>
          <w:szCs w:val="32"/>
        </w:rPr>
        <w:t>、编制依据、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项目内容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项目经费、项目工期</w:t>
      </w:r>
      <w:r>
        <w:rPr>
          <w:rFonts w:hint="eastAsia" w:ascii="仿宋" w:hAnsi="仿宋" w:eastAsia="仿宋" w:cs="仿宋"/>
          <w:sz w:val="32"/>
          <w:szCs w:val="32"/>
        </w:rPr>
        <w:t>等内容。</w:t>
      </w:r>
    </w:p>
    <w:p w14:paraId="5D91A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第二章“项目背景”。主要从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四个</w:t>
      </w:r>
      <w:r>
        <w:rPr>
          <w:rFonts w:hint="eastAsia" w:ascii="仿宋" w:hAnsi="仿宋" w:eastAsia="仿宋" w:cs="仿宋"/>
          <w:sz w:val="32"/>
          <w:szCs w:val="32"/>
        </w:rPr>
        <w:t>方面阐述项目的背景：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是持续发挥福田区创新引领作用，贯彻落实党的二十大报告“高质量发展”目标的具体行动；项目是深入推进“创建国家森林城市”，打造国际一流中心城区，提升深圳整体城市形象的必然要求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；项目是促进现代计量技术发展、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加快计量知识普及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的重要方式；项目是完善深圳城市公园规划，发挥公园宣传阵地作用的现实要求。</w:t>
      </w:r>
    </w:p>
    <w:p w14:paraId="3AAB4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第三章“决策依据”。决策依据主要包含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国家、部门法律、政策、标准依据，广东省、深圳市法规、规章、政策、标准依据，福田区政策、标准依据依据三个层面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A27E9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第四章“决策目标”。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决策的总体目标包括（一）加强学科和文化建设：建设中国特色社会主义先行示范区，创建深圳计量学科与文化知识宣传阵地；（二）建设多元城区：为深圳主题公园文化注入新鲜血液、打造先行示范区新名片；（三）完善城市绿化：营造绿化花城景观，提升城市形象与品味；（四）提升城区环境品质：形成超级城市公园网络，展现福田区强大的公园规划与卓越的公园社区文化。</w:t>
      </w:r>
    </w:p>
    <w:p w14:paraId="21050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第五章“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工作任务</w:t>
      </w:r>
      <w:r>
        <w:rPr>
          <w:rFonts w:hint="eastAsia" w:ascii="仿宋" w:hAnsi="仿宋" w:eastAsia="仿宋" w:cs="仿宋"/>
          <w:sz w:val="32"/>
          <w:szCs w:val="32"/>
        </w:rPr>
        <w:t>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明确本项目</w:t>
      </w:r>
      <w:r>
        <w:rPr>
          <w:rFonts w:hint="eastAsia" w:ascii="仿宋" w:hAnsi="仿宋" w:eastAsia="仿宋" w:cs="仿宋"/>
          <w:sz w:val="32"/>
          <w:szCs w:val="32"/>
        </w:rPr>
        <w:t>工作任务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</w:t>
      </w:r>
      <w:r>
        <w:rPr>
          <w:rFonts w:hint="eastAsia" w:ascii="仿宋" w:hAnsi="仿宋" w:eastAsia="仿宋" w:cs="仿宋"/>
          <w:sz w:val="32"/>
          <w:szCs w:val="32"/>
        </w:rPr>
        <w:t>对现有绿谷公园进行升级改造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，建立包含计量文化广场区、计量科技驿站区、计量生活体验区和度量衡趣味花园的文化公园，打造市民高品质休闲的特色公共空间、弘扬计量文化的城市特色名片和提高计量科学认知的特色科普载体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FCF4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第六章“措施方法”。明确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项目的实施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项目建设方案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432E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第七章“时间步骤”。明确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项目步骤</w:t>
      </w:r>
      <w:r>
        <w:rPr>
          <w:rFonts w:hint="eastAsia" w:ascii="仿宋" w:hAnsi="仿宋" w:eastAsia="仿宋" w:cs="仿宋"/>
          <w:sz w:val="32"/>
          <w:szCs w:val="32"/>
        </w:rPr>
        <w:t>主要包括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前期工作阶段、施工建设阶段以及后期收尾阶段三</w:t>
      </w:r>
      <w:r>
        <w:rPr>
          <w:rFonts w:hint="eastAsia" w:ascii="仿宋" w:hAnsi="仿宋" w:eastAsia="仿宋" w:cs="仿宋"/>
          <w:sz w:val="32"/>
          <w:szCs w:val="32"/>
        </w:rPr>
        <w:t>个阶段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及各阶段工作内容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89BA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第八章“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实施主体</w:t>
      </w:r>
      <w:r>
        <w:rPr>
          <w:rFonts w:hint="eastAsia" w:ascii="仿宋" w:hAnsi="仿宋" w:eastAsia="仿宋" w:cs="仿宋"/>
          <w:sz w:val="32"/>
          <w:szCs w:val="32"/>
        </w:rPr>
        <w:t>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明确本项目属于福田区重点城市景观和绿化建设项目，项目执行主体为深圳市福田区城市管理和综合执法局，</w:t>
      </w:r>
      <w:r>
        <w:rPr>
          <w:rFonts w:hint="eastAsia" w:ascii="仿宋" w:hAnsi="仿宋" w:eastAsia="仿宋" w:cs="仿宋"/>
          <w:sz w:val="32"/>
          <w:szCs w:val="32"/>
        </w:rPr>
        <w:t>住建部门、交通部门、规划部门、财政部门、生态环境部门、水务部门、发改部门、市监部门、公安部门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等作为配合部门协助本项目开展实施工作，前期工作、建设工作由深圳市福田区城市管理和综合执法局负责组织开展。</w:t>
      </w:r>
    </w:p>
    <w:p w14:paraId="3F73F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第九章“经费预算”。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明确本项目</w:t>
      </w: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总投资约3402.90万元，其中建安费2651.25万元，工程其他费用448.46万元，工程预备费247.98万元，代建费55.22万元。项目经费由福田区政府财政列支。</w:t>
      </w:r>
    </w:p>
    <w:p w14:paraId="76456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第十章“评估计划”。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明确决策后评估计划的评估内容和评估方式。</w:t>
      </w:r>
    </w:p>
    <w:p w14:paraId="6E56F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特此说明。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8937FA-AF6F-4F71-B28E-E8C841BBB0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  <w:embedRegular r:id="rId2" w:fontKey="{44532307-607C-46F5-B1E6-80A9EA1C2AF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289D797-0F94-4F86-A222-FBED81D538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7E755C8-2B20-4465-A509-E6916EA5B8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F6089C3-CA1D-411A-9044-7CB45000F02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6F09BD8-3CCF-406B-AB06-7FDFF34AD2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0A2E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38B61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E38B61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zdhYjkxNzIzMzFhYTRhOGEzNzYyOGNmZjZmMGQifQ=="/>
  </w:docVars>
  <w:rsids>
    <w:rsidRoot w:val="61E72C87"/>
    <w:rsid w:val="04C62A50"/>
    <w:rsid w:val="06053077"/>
    <w:rsid w:val="067078C7"/>
    <w:rsid w:val="077D3131"/>
    <w:rsid w:val="07EA1D81"/>
    <w:rsid w:val="0EBB3464"/>
    <w:rsid w:val="1245393E"/>
    <w:rsid w:val="1C2F2D15"/>
    <w:rsid w:val="1E232623"/>
    <w:rsid w:val="1EF43A6A"/>
    <w:rsid w:val="21DC0A31"/>
    <w:rsid w:val="21FE39B3"/>
    <w:rsid w:val="226472D7"/>
    <w:rsid w:val="22707050"/>
    <w:rsid w:val="23A52625"/>
    <w:rsid w:val="25D845A8"/>
    <w:rsid w:val="260F021E"/>
    <w:rsid w:val="27BE1805"/>
    <w:rsid w:val="29BC68BF"/>
    <w:rsid w:val="2D880C35"/>
    <w:rsid w:val="3545581D"/>
    <w:rsid w:val="37C30BF8"/>
    <w:rsid w:val="39742B2B"/>
    <w:rsid w:val="3A1275AE"/>
    <w:rsid w:val="3A4E2DF8"/>
    <w:rsid w:val="3CC07DFC"/>
    <w:rsid w:val="3DD16956"/>
    <w:rsid w:val="443D1043"/>
    <w:rsid w:val="46BC0B1B"/>
    <w:rsid w:val="4B6B03DC"/>
    <w:rsid w:val="50101F7F"/>
    <w:rsid w:val="50715C9D"/>
    <w:rsid w:val="53CE5E8E"/>
    <w:rsid w:val="54462764"/>
    <w:rsid w:val="5813474B"/>
    <w:rsid w:val="5DF341F6"/>
    <w:rsid w:val="61E72C87"/>
    <w:rsid w:val="61FB0F58"/>
    <w:rsid w:val="63CE15D9"/>
    <w:rsid w:val="64A613FF"/>
    <w:rsid w:val="683A702D"/>
    <w:rsid w:val="69DB26C2"/>
    <w:rsid w:val="6BD0404B"/>
    <w:rsid w:val="6D367406"/>
    <w:rsid w:val="72E90EC2"/>
    <w:rsid w:val="7C152569"/>
    <w:rsid w:val="7D96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200" w:after="600" w:line="500" w:lineRule="exact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500" w:lineRule="exact"/>
      <w:outlineLvl w:val="1"/>
    </w:pPr>
    <w:rPr>
      <w:rFonts w:ascii="黑体" w:hAnsi="Arial" w:eastAsia="黑体"/>
      <w:b/>
      <w:bCs/>
      <w:kern w:val="0"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2766</Words>
  <Characters>2890</Characters>
  <Lines>0</Lines>
  <Paragraphs>0</Paragraphs>
  <TotalTime>1</TotalTime>
  <ScaleCrop>false</ScaleCrop>
  <LinksUpToDate>false</LinksUpToDate>
  <CharactersWithSpaces>2890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2020-08-05T16:22:00Z</dcterms:created>
  <dc:creator>陈燕</dc:creator>
  <cp:lastModifiedBy>sumsum25</cp:lastModifiedBy>
  <cp:lastPrinted>2023-07-26T00:48:00Z</cp:lastPrinted>
  <dcterms:modified xsi:type="dcterms:W3CDTF">2024-10-15T08:32:52Z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9D87F8D783B7469F979528C96632E8FB_13</vt:lpwstr>
  </property>
</Properties>
</file>