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9" w:lineRule="exact"/>
        <w:rPr>
          <w:rFonts w:ascii="仿宋_GB2312" w:eastAsia="仿宋_GB2312"/>
          <w:b/>
          <w:sz w:val="32"/>
          <w:szCs w:val="32"/>
        </w:rPr>
      </w:pPr>
      <w:r>
        <w:rPr>
          <w:rFonts w:hint="eastAsia" w:ascii="仿宋_GB2312" w:eastAsia="仿宋_GB2312"/>
          <w:b/>
          <w:sz w:val="32"/>
          <w:szCs w:val="32"/>
        </w:rPr>
        <w:t>附件</w:t>
      </w:r>
    </w:p>
    <w:p>
      <w:pPr>
        <w:snapToGrid w:val="0"/>
        <w:spacing w:line="579"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福田区</w:t>
      </w:r>
      <w:r>
        <w:rPr>
          <w:rFonts w:hint="eastAsia" w:ascii="方正小标宋简体" w:hAnsi="方正小标宋简体" w:eastAsia="方正小标宋简体" w:cs="方正小标宋简体"/>
          <w:sz w:val="44"/>
          <w:szCs w:val="44"/>
          <w:lang w:eastAsia="zh-CN"/>
        </w:rPr>
        <w:t>人力资源局</w:t>
      </w:r>
      <w:r>
        <w:rPr>
          <w:rFonts w:hint="eastAsia" w:ascii="方正小标宋简体" w:hAnsi="方正小标宋简体" w:eastAsia="方正小标宋简体" w:cs="方正小标宋简体"/>
          <w:sz w:val="44"/>
          <w:szCs w:val="44"/>
        </w:rPr>
        <w:t>劳动人事争议</w:t>
      </w:r>
      <w:r>
        <w:rPr>
          <w:rFonts w:hint="eastAsia" w:ascii="方正小标宋简体" w:hAnsi="方正小标宋简体" w:eastAsia="方正小标宋简体" w:cs="方正小标宋简体"/>
          <w:sz w:val="44"/>
          <w:szCs w:val="44"/>
          <w:lang w:eastAsia="zh-CN"/>
        </w:rPr>
        <w:t>院</w:t>
      </w:r>
      <w:r>
        <w:rPr>
          <w:rFonts w:hint="eastAsia" w:ascii="方正小标宋简体" w:hAnsi="方正小标宋简体" w:eastAsia="方正小标宋简体" w:cs="方正小标宋简体"/>
          <w:sz w:val="44"/>
          <w:szCs w:val="44"/>
        </w:rPr>
        <w:t>数字</w:t>
      </w:r>
    </w:p>
    <w:p>
      <w:pPr>
        <w:snapToGrid w:val="0"/>
        <w:spacing w:line="579"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仲裁智能语音系统建设项目</w:t>
      </w:r>
    </w:p>
    <w:p>
      <w:pPr>
        <w:snapToGrid w:val="0"/>
        <w:spacing w:line="579"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一、采购项目概况</w:t>
      </w:r>
    </w:p>
    <w:p>
      <w:pPr>
        <w:snapToGrid w:val="0"/>
        <w:spacing w:line="579"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（一）项目名称：福田区</w:t>
      </w:r>
      <w:r>
        <w:rPr>
          <w:rFonts w:hint="eastAsia" w:ascii="仿宋_GB2312" w:hAnsi="仿宋_GB2312" w:eastAsia="仿宋_GB2312" w:cs="仿宋_GB2312"/>
          <w:sz w:val="28"/>
          <w:szCs w:val="28"/>
          <w:lang w:eastAsia="zh-CN"/>
        </w:rPr>
        <w:t>人力资源局</w:t>
      </w:r>
      <w:r>
        <w:rPr>
          <w:rFonts w:hint="eastAsia" w:ascii="仿宋_GB2312" w:hAnsi="仿宋_GB2312" w:eastAsia="仿宋_GB2312" w:cs="仿宋_GB2312"/>
          <w:sz w:val="28"/>
          <w:szCs w:val="28"/>
        </w:rPr>
        <w:t>劳动人事争议</w:t>
      </w:r>
      <w:r>
        <w:rPr>
          <w:rFonts w:hint="eastAsia" w:ascii="仿宋_GB2312" w:hAnsi="仿宋_GB2312" w:eastAsia="仿宋_GB2312" w:cs="仿宋_GB2312"/>
          <w:sz w:val="28"/>
          <w:szCs w:val="28"/>
          <w:lang w:eastAsia="zh-CN"/>
        </w:rPr>
        <w:t>院</w:t>
      </w:r>
      <w:r>
        <w:rPr>
          <w:rFonts w:hint="eastAsia" w:ascii="仿宋_GB2312" w:hAnsi="仿宋_GB2312" w:eastAsia="仿宋_GB2312" w:cs="仿宋_GB2312"/>
          <w:sz w:val="28"/>
          <w:szCs w:val="28"/>
        </w:rPr>
        <w:t>数字仲裁智能语音系统建设</w:t>
      </w:r>
      <w:r>
        <w:rPr>
          <w:rFonts w:hint="eastAsia" w:ascii="仿宋_GB2312" w:hAnsi="仿宋_GB2312" w:eastAsia="仿宋_GB2312" w:cs="仿宋_GB2312"/>
          <w:sz w:val="28"/>
          <w:szCs w:val="28"/>
          <w:lang w:eastAsia="zh-CN"/>
        </w:rPr>
        <w:t>。</w:t>
      </w:r>
    </w:p>
    <w:p>
      <w:pPr>
        <w:snapToGrid w:val="0"/>
        <w:spacing w:line="579" w:lineRule="exact"/>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sz w:val="28"/>
          <w:szCs w:val="28"/>
        </w:rPr>
        <w:t>（二）预算金额：人民币180000元</w:t>
      </w:r>
      <w:r>
        <w:rPr>
          <w:rFonts w:hint="eastAsia" w:ascii="仿宋_GB2312" w:hAnsi="仿宋_GB2312" w:eastAsia="仿宋_GB2312" w:cs="仿宋_GB2312"/>
          <w:sz w:val="28"/>
          <w:szCs w:val="28"/>
          <w:lang w:eastAsia="zh-CN"/>
        </w:rPr>
        <w:t>。</w:t>
      </w:r>
    </w:p>
    <w:p>
      <w:pPr>
        <w:snapToGrid w:val="0"/>
        <w:spacing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（三）项目概况：庭审语音识别是“数字仲裁庭”的重要功能，实现语音识别能够提升庭审效率、减轻书记员负担、提高庭审质量，使院方更好的为当事人提供仲裁服务。</w:t>
      </w:r>
    </w:p>
    <w:p>
      <w:pPr>
        <w:snapToGrid w:val="0"/>
        <w:spacing w:line="579"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本项目根据深圳市</w:t>
      </w:r>
      <w:r>
        <w:rPr>
          <w:rFonts w:hint="eastAsia" w:ascii="仿宋" w:hAnsi="仿宋" w:eastAsia="仿宋"/>
          <w:sz w:val="28"/>
          <w:szCs w:val="28"/>
        </w:rPr>
        <w:t>《劳动人事争议数字仲裁庭建设指引》文件标准，结合智能仲裁院建设现状，以避免重复建设和节约经费为原则，开展仲裁智能语音识别系统建设，对院内五个仲裁庭进行能力提升，以实现语音识别功能。考虑到系统功能适配和使用效率，语音识别系统应与本院已部署的庭审综合管理系统实现无缝对接，并最终实现与深圳市劳动仲裁业务管理系统对接。</w:t>
      </w:r>
    </w:p>
    <w:p>
      <w:pPr>
        <w:numPr>
          <w:ilvl w:val="0"/>
          <w:numId w:val="3"/>
        </w:numPr>
        <w:snapToGrid w:val="0"/>
        <w:spacing w:line="579"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项目采购需求</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1082"/>
        <w:gridCol w:w="835"/>
        <w:gridCol w:w="851"/>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01" w:type="dxa"/>
            <w:vAlign w:val="center"/>
          </w:tcPr>
          <w:p>
            <w:pPr>
              <w:pStyle w:val="19"/>
              <w:spacing w:line="300" w:lineRule="exact"/>
              <w:ind w:firstLine="0" w:firstLineChars="0"/>
              <w:jc w:val="center"/>
              <w:rPr>
                <w:rFonts w:hint="eastAsia" w:ascii="仿宋" w:hAnsi="仿宋" w:eastAsia="仿宋"/>
                <w:b/>
                <w:bCs/>
                <w:sz w:val="28"/>
                <w:szCs w:val="28"/>
              </w:rPr>
            </w:pPr>
            <w:r>
              <w:rPr>
                <w:rFonts w:hint="eastAsia" w:ascii="仿宋" w:hAnsi="仿宋" w:eastAsia="仿宋"/>
                <w:b/>
                <w:bCs/>
                <w:sz w:val="28"/>
                <w:szCs w:val="28"/>
              </w:rPr>
              <w:t>序号</w:t>
            </w:r>
          </w:p>
        </w:tc>
        <w:tc>
          <w:tcPr>
            <w:tcW w:w="1082" w:type="dxa"/>
            <w:vAlign w:val="center"/>
          </w:tcPr>
          <w:p>
            <w:pPr>
              <w:pStyle w:val="19"/>
              <w:spacing w:line="300" w:lineRule="exact"/>
              <w:ind w:firstLine="0" w:firstLineChars="0"/>
              <w:jc w:val="center"/>
              <w:rPr>
                <w:rFonts w:ascii="仿宋" w:hAnsi="仿宋" w:eastAsia="仿宋"/>
                <w:b/>
                <w:bCs/>
                <w:sz w:val="28"/>
                <w:szCs w:val="28"/>
              </w:rPr>
            </w:pPr>
            <w:r>
              <w:rPr>
                <w:rFonts w:hint="eastAsia" w:ascii="仿宋" w:hAnsi="仿宋" w:eastAsia="仿宋"/>
                <w:b/>
                <w:bCs/>
                <w:sz w:val="28"/>
                <w:szCs w:val="28"/>
              </w:rPr>
              <w:t>设备</w:t>
            </w:r>
          </w:p>
          <w:p>
            <w:pPr>
              <w:pStyle w:val="19"/>
              <w:spacing w:line="300" w:lineRule="exact"/>
              <w:ind w:firstLine="0" w:firstLineChars="0"/>
              <w:jc w:val="center"/>
              <w:rPr>
                <w:rFonts w:hint="eastAsia" w:ascii="仿宋" w:hAnsi="仿宋" w:eastAsia="仿宋"/>
                <w:b/>
                <w:bCs/>
                <w:sz w:val="28"/>
                <w:szCs w:val="28"/>
              </w:rPr>
            </w:pPr>
            <w:r>
              <w:rPr>
                <w:rFonts w:hint="eastAsia" w:ascii="仿宋" w:hAnsi="仿宋" w:eastAsia="仿宋"/>
                <w:b/>
                <w:bCs/>
                <w:sz w:val="28"/>
                <w:szCs w:val="28"/>
              </w:rPr>
              <w:t>名称</w:t>
            </w:r>
          </w:p>
        </w:tc>
        <w:tc>
          <w:tcPr>
            <w:tcW w:w="835" w:type="dxa"/>
            <w:vAlign w:val="center"/>
          </w:tcPr>
          <w:p>
            <w:pPr>
              <w:pStyle w:val="19"/>
              <w:spacing w:line="300" w:lineRule="exact"/>
              <w:ind w:firstLine="0" w:firstLineChars="0"/>
              <w:jc w:val="center"/>
              <w:rPr>
                <w:rFonts w:hint="eastAsia" w:ascii="仿宋" w:hAnsi="仿宋" w:eastAsia="仿宋"/>
                <w:b/>
                <w:bCs/>
                <w:sz w:val="28"/>
                <w:szCs w:val="28"/>
              </w:rPr>
            </w:pPr>
            <w:r>
              <w:rPr>
                <w:rFonts w:hint="eastAsia" w:ascii="仿宋" w:hAnsi="仿宋" w:eastAsia="仿宋"/>
                <w:b/>
                <w:bCs/>
                <w:sz w:val="28"/>
                <w:szCs w:val="28"/>
              </w:rPr>
              <w:t>数量</w:t>
            </w:r>
          </w:p>
        </w:tc>
        <w:tc>
          <w:tcPr>
            <w:tcW w:w="851" w:type="dxa"/>
            <w:vAlign w:val="center"/>
          </w:tcPr>
          <w:p>
            <w:pPr>
              <w:pStyle w:val="19"/>
              <w:spacing w:line="300" w:lineRule="exact"/>
              <w:ind w:firstLine="0" w:firstLineChars="0"/>
              <w:jc w:val="center"/>
              <w:rPr>
                <w:rFonts w:hint="eastAsia" w:ascii="仿宋" w:hAnsi="仿宋" w:eastAsia="仿宋"/>
                <w:b/>
                <w:bCs/>
                <w:sz w:val="28"/>
                <w:szCs w:val="28"/>
              </w:rPr>
            </w:pPr>
            <w:r>
              <w:rPr>
                <w:rFonts w:hint="eastAsia" w:ascii="仿宋" w:hAnsi="仿宋" w:eastAsia="仿宋"/>
                <w:b/>
                <w:bCs/>
                <w:sz w:val="28"/>
                <w:szCs w:val="28"/>
              </w:rPr>
              <w:t>单位</w:t>
            </w:r>
          </w:p>
        </w:tc>
        <w:tc>
          <w:tcPr>
            <w:tcW w:w="5153" w:type="dxa"/>
            <w:vAlign w:val="center"/>
          </w:tcPr>
          <w:p>
            <w:pPr>
              <w:pStyle w:val="19"/>
              <w:spacing w:line="300" w:lineRule="exact"/>
              <w:ind w:firstLine="0" w:firstLineChars="0"/>
              <w:jc w:val="center"/>
              <w:rPr>
                <w:rFonts w:hint="eastAsia" w:ascii="仿宋" w:hAnsi="仿宋" w:eastAsia="仿宋"/>
                <w:b/>
                <w:bCs/>
                <w:sz w:val="28"/>
                <w:szCs w:val="28"/>
              </w:rPr>
            </w:pPr>
            <w:r>
              <w:rPr>
                <w:rFonts w:hint="eastAsia" w:ascii="仿宋" w:hAnsi="仿宋" w:eastAsia="仿宋"/>
                <w:b/>
                <w:bCs/>
                <w:sz w:val="28"/>
                <w:szCs w:val="2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01" w:type="dxa"/>
            <w:vAlign w:val="center"/>
          </w:tcPr>
          <w:p>
            <w:pPr>
              <w:pStyle w:val="19"/>
              <w:spacing w:line="300" w:lineRule="exact"/>
              <w:ind w:firstLine="0" w:firstLineChars="0"/>
              <w:jc w:val="center"/>
              <w:rPr>
                <w:rFonts w:hint="eastAsia" w:ascii="仿宋" w:hAnsi="仿宋" w:eastAsia="仿宋"/>
                <w:sz w:val="28"/>
                <w:szCs w:val="28"/>
              </w:rPr>
            </w:pPr>
            <w:r>
              <w:rPr>
                <w:rFonts w:hint="eastAsia" w:ascii="仿宋" w:hAnsi="仿宋" w:eastAsia="仿宋"/>
                <w:sz w:val="28"/>
                <w:szCs w:val="28"/>
              </w:rPr>
              <w:t>1</w:t>
            </w:r>
          </w:p>
        </w:tc>
        <w:tc>
          <w:tcPr>
            <w:tcW w:w="1082" w:type="dxa"/>
            <w:vAlign w:val="center"/>
          </w:tcPr>
          <w:p>
            <w:pPr>
              <w:snapToGrid w:val="0"/>
              <w:spacing w:line="579" w:lineRule="exact"/>
              <w:rPr>
                <w:rFonts w:hint="eastAsia" w:ascii="仿宋" w:hAnsi="仿宋" w:eastAsia="仿宋" w:cs="黑体"/>
                <w:bCs/>
                <w:sz w:val="28"/>
                <w:szCs w:val="28"/>
              </w:rPr>
            </w:pPr>
            <w:r>
              <w:rPr>
                <w:rFonts w:hint="eastAsia" w:ascii="仿宋" w:hAnsi="仿宋" w:eastAsia="仿宋" w:cs="黑体"/>
                <w:bCs/>
                <w:sz w:val="28"/>
                <w:szCs w:val="28"/>
              </w:rPr>
              <w:t>智能语音系统</w:t>
            </w:r>
          </w:p>
        </w:tc>
        <w:tc>
          <w:tcPr>
            <w:tcW w:w="835" w:type="dxa"/>
            <w:vAlign w:val="center"/>
          </w:tcPr>
          <w:p>
            <w:pPr>
              <w:snapToGrid w:val="0"/>
              <w:spacing w:line="579" w:lineRule="exact"/>
              <w:jc w:val="center"/>
              <w:rPr>
                <w:rFonts w:hint="eastAsia" w:ascii="仿宋" w:hAnsi="仿宋" w:eastAsia="仿宋" w:cs="黑体"/>
                <w:bCs/>
                <w:sz w:val="28"/>
                <w:szCs w:val="28"/>
                <w:lang w:eastAsia="zh-CN"/>
              </w:rPr>
            </w:pPr>
            <w:r>
              <w:rPr>
                <w:rFonts w:hint="eastAsia" w:ascii="仿宋" w:hAnsi="仿宋" w:eastAsia="仿宋" w:cs="黑体"/>
                <w:bCs/>
                <w:sz w:val="28"/>
                <w:szCs w:val="28"/>
                <w:lang w:val="en-US" w:eastAsia="zh-CN"/>
              </w:rPr>
              <w:t>5</w:t>
            </w:r>
          </w:p>
        </w:tc>
        <w:tc>
          <w:tcPr>
            <w:tcW w:w="851" w:type="dxa"/>
            <w:vAlign w:val="center"/>
          </w:tcPr>
          <w:p>
            <w:pPr>
              <w:snapToGrid w:val="0"/>
              <w:spacing w:line="579" w:lineRule="exact"/>
              <w:jc w:val="center"/>
              <w:rPr>
                <w:rFonts w:hint="eastAsia" w:ascii="仿宋" w:hAnsi="仿宋" w:eastAsia="仿宋" w:cs="黑体"/>
                <w:bCs/>
                <w:sz w:val="28"/>
                <w:szCs w:val="28"/>
              </w:rPr>
            </w:pPr>
            <w:r>
              <w:rPr>
                <w:rFonts w:hint="eastAsia" w:ascii="仿宋" w:hAnsi="仿宋" w:eastAsia="仿宋" w:cs="黑体"/>
                <w:bCs/>
                <w:sz w:val="28"/>
                <w:szCs w:val="28"/>
              </w:rPr>
              <w:t>套</w:t>
            </w:r>
          </w:p>
        </w:tc>
        <w:tc>
          <w:tcPr>
            <w:tcW w:w="5153" w:type="dxa"/>
            <w:vAlign w:val="center"/>
          </w:tcPr>
          <w:p>
            <w:pPr>
              <w:snapToGrid w:val="0"/>
              <w:spacing w:line="579" w:lineRule="exact"/>
              <w:rPr>
                <w:rFonts w:hint="eastAsia" w:ascii="仿宋" w:hAnsi="仿宋" w:eastAsia="仿宋" w:cs="黑体"/>
                <w:bCs/>
                <w:sz w:val="28"/>
                <w:szCs w:val="28"/>
              </w:rPr>
            </w:pPr>
            <w:r>
              <w:rPr>
                <w:rFonts w:hint="eastAsia" w:ascii="仿宋" w:hAnsi="仿宋" w:eastAsia="仿宋" w:cs="黑体"/>
                <w:bCs/>
                <w:sz w:val="28"/>
                <w:szCs w:val="28"/>
              </w:rPr>
              <w:t>1、识别准确率：中文普通话 ≥98.5%</w:t>
            </w:r>
          </w:p>
          <w:p>
            <w:pPr>
              <w:snapToGrid w:val="0"/>
              <w:spacing w:line="579" w:lineRule="exact"/>
              <w:rPr>
                <w:rFonts w:hint="eastAsia" w:ascii="仿宋" w:hAnsi="仿宋" w:eastAsia="仿宋" w:cs="黑体"/>
                <w:bCs/>
                <w:sz w:val="28"/>
                <w:szCs w:val="28"/>
              </w:rPr>
            </w:pPr>
            <w:r>
              <w:rPr>
                <w:rFonts w:hint="eastAsia" w:ascii="仿宋" w:hAnsi="仿宋" w:eastAsia="仿宋" w:cs="黑体"/>
                <w:bCs/>
                <w:sz w:val="28"/>
                <w:szCs w:val="28"/>
              </w:rPr>
              <w:t>2、语音识别：识别拾音设备输入的音频信号</w:t>
            </w:r>
          </w:p>
          <w:p>
            <w:pPr>
              <w:snapToGrid w:val="0"/>
              <w:spacing w:line="579" w:lineRule="exact"/>
              <w:rPr>
                <w:rFonts w:hint="eastAsia" w:ascii="仿宋" w:hAnsi="仿宋" w:eastAsia="仿宋" w:cs="黑体"/>
                <w:bCs/>
                <w:sz w:val="28"/>
                <w:szCs w:val="28"/>
              </w:rPr>
            </w:pPr>
            <w:r>
              <w:rPr>
                <w:rFonts w:hint="eastAsia" w:ascii="仿宋" w:hAnsi="仿宋" w:eastAsia="仿宋" w:cs="黑体"/>
                <w:bCs/>
                <w:sz w:val="28"/>
                <w:szCs w:val="28"/>
              </w:rPr>
              <w:t>3、语音转写：将识别到的音频信号转换成文字输出到系统</w:t>
            </w:r>
          </w:p>
          <w:p>
            <w:pPr>
              <w:snapToGrid w:val="0"/>
              <w:spacing w:line="579" w:lineRule="exact"/>
              <w:rPr>
                <w:rFonts w:hint="eastAsia" w:ascii="仿宋" w:hAnsi="仿宋" w:eastAsia="仿宋" w:cs="黑体"/>
                <w:bCs/>
                <w:sz w:val="28"/>
                <w:szCs w:val="28"/>
              </w:rPr>
            </w:pPr>
            <w:r>
              <w:rPr>
                <w:rFonts w:hint="eastAsia" w:ascii="仿宋" w:hAnsi="仿宋" w:eastAsia="仿宋" w:cs="黑体"/>
                <w:bCs/>
                <w:sz w:val="28"/>
                <w:szCs w:val="28"/>
              </w:rPr>
              <w:t>4、庭审信息语音播报：通过识别文档中的文字内容，合成模拟人声进行播报</w:t>
            </w:r>
          </w:p>
          <w:p>
            <w:pPr>
              <w:snapToGrid w:val="0"/>
              <w:spacing w:line="579" w:lineRule="exact"/>
              <w:rPr>
                <w:rFonts w:hint="eastAsia" w:ascii="仿宋" w:hAnsi="仿宋" w:eastAsia="仿宋" w:cs="黑体"/>
                <w:bCs/>
                <w:sz w:val="28"/>
                <w:szCs w:val="28"/>
              </w:rPr>
            </w:pPr>
            <w:r>
              <w:rPr>
                <w:rFonts w:hint="eastAsia" w:ascii="仿宋" w:hAnsi="仿宋" w:eastAsia="仿宋" w:cs="黑体"/>
                <w:bCs/>
                <w:sz w:val="28"/>
                <w:szCs w:val="28"/>
              </w:rPr>
              <w:t>5、庭审笔录标记回听：在转写过程中可选中文本进行标记，结束后可对标记内容进行回听</w:t>
            </w:r>
          </w:p>
          <w:p>
            <w:pPr>
              <w:snapToGrid w:val="0"/>
              <w:spacing w:line="579" w:lineRule="exact"/>
              <w:rPr>
                <w:rFonts w:hint="eastAsia" w:ascii="仿宋" w:hAnsi="仿宋" w:eastAsia="仿宋" w:cs="黑体"/>
                <w:bCs/>
                <w:sz w:val="28"/>
                <w:szCs w:val="28"/>
              </w:rPr>
            </w:pPr>
            <w:r>
              <w:rPr>
                <w:rFonts w:hint="eastAsia" w:ascii="仿宋" w:hAnsi="仿宋" w:eastAsia="仿宋" w:cs="黑体"/>
                <w:bCs/>
                <w:sz w:val="28"/>
                <w:szCs w:val="28"/>
              </w:rPr>
              <w:t>6、庭审智能笔录修正：根据对话的语言情景，自动识别匹配纠错相关文字词汇</w:t>
            </w:r>
          </w:p>
          <w:p>
            <w:pPr>
              <w:snapToGrid w:val="0"/>
              <w:spacing w:line="579" w:lineRule="exact"/>
              <w:rPr>
                <w:rFonts w:hint="eastAsia" w:ascii="仿宋" w:hAnsi="仿宋" w:eastAsia="仿宋" w:cs="黑体"/>
                <w:bCs/>
                <w:sz w:val="28"/>
                <w:szCs w:val="28"/>
              </w:rPr>
            </w:pPr>
            <w:r>
              <w:rPr>
                <w:rFonts w:hint="eastAsia" w:ascii="仿宋" w:hAnsi="仿宋" w:eastAsia="仿宋" w:cs="黑体"/>
                <w:bCs/>
                <w:sz w:val="28"/>
                <w:szCs w:val="28"/>
              </w:rPr>
              <w:t>7、多角色区分识别：对不同的话筒输入源标记不同的身份角色以作区分，每庭至少支持10路；支持用户自定义设置角色信息</w:t>
            </w:r>
          </w:p>
          <w:p>
            <w:pPr>
              <w:snapToGrid w:val="0"/>
              <w:spacing w:line="579" w:lineRule="exact"/>
              <w:rPr>
                <w:rFonts w:hint="eastAsia" w:ascii="仿宋" w:hAnsi="仿宋" w:eastAsia="仿宋" w:cs="黑体"/>
                <w:bCs/>
                <w:sz w:val="28"/>
                <w:szCs w:val="28"/>
              </w:rPr>
            </w:pPr>
            <w:r>
              <w:rPr>
                <w:rFonts w:hint="eastAsia" w:ascii="仿宋" w:hAnsi="仿宋" w:eastAsia="仿宋" w:cs="黑体"/>
                <w:bCs/>
                <w:sz w:val="28"/>
                <w:szCs w:val="28"/>
              </w:rPr>
              <w:t>8、个性化词语配置：导入法律、庭审相关词汇时更精准的识别法律专业名词</w:t>
            </w:r>
          </w:p>
          <w:p>
            <w:pPr>
              <w:snapToGrid w:val="0"/>
              <w:spacing w:line="579" w:lineRule="exact"/>
              <w:rPr>
                <w:rFonts w:hint="eastAsia" w:ascii="仿宋" w:hAnsi="仿宋" w:eastAsia="仿宋" w:cs="黑体"/>
                <w:bCs/>
                <w:sz w:val="28"/>
                <w:szCs w:val="28"/>
              </w:rPr>
            </w:pPr>
            <w:r>
              <w:rPr>
                <w:rFonts w:hint="eastAsia" w:ascii="仿宋" w:hAnsi="仿宋" w:eastAsia="仿宋" w:cs="黑体"/>
                <w:bCs/>
                <w:sz w:val="28"/>
                <w:szCs w:val="28"/>
              </w:rPr>
              <w:t>9、智能模糊查找替换：模糊查询文本的关键词，替换选中的关键词</w:t>
            </w:r>
          </w:p>
          <w:p>
            <w:pPr>
              <w:snapToGrid w:val="0"/>
              <w:spacing w:line="579" w:lineRule="exact"/>
              <w:rPr>
                <w:rFonts w:hint="eastAsia" w:ascii="仿宋" w:hAnsi="仿宋" w:eastAsia="仿宋" w:cs="黑体"/>
                <w:bCs/>
                <w:sz w:val="28"/>
                <w:szCs w:val="28"/>
              </w:rPr>
            </w:pPr>
            <w:r>
              <w:rPr>
                <w:rFonts w:hint="eastAsia" w:ascii="仿宋" w:hAnsi="仿宋" w:eastAsia="仿宋" w:cs="黑体"/>
                <w:bCs/>
                <w:sz w:val="28"/>
                <w:szCs w:val="28"/>
              </w:rPr>
              <w:t>10、文字格式设置：支持用户自定义设置音转文键入文字格式，可配置字体、大小等参数</w:t>
            </w:r>
          </w:p>
          <w:p>
            <w:pPr>
              <w:snapToGrid w:val="0"/>
              <w:spacing w:line="579" w:lineRule="exact"/>
              <w:rPr>
                <w:rFonts w:hint="eastAsia" w:ascii="仿宋" w:hAnsi="仿宋" w:eastAsia="仿宋" w:cs="黑体"/>
                <w:bCs/>
                <w:sz w:val="28"/>
                <w:szCs w:val="28"/>
              </w:rPr>
            </w:pPr>
            <w:r>
              <w:rPr>
                <w:rFonts w:hint="eastAsia" w:ascii="仿宋" w:hAnsi="仿宋" w:eastAsia="仿宋" w:cs="黑体"/>
                <w:bCs/>
                <w:sz w:val="28"/>
                <w:szCs w:val="28"/>
              </w:rPr>
              <w:t>11、系统对接与并发要求（投标人此项单独提供承诺函并加盖投标人公章，格式自拟）：</w:t>
            </w:r>
          </w:p>
          <w:p>
            <w:pPr>
              <w:snapToGrid w:val="0"/>
              <w:spacing w:line="579" w:lineRule="exact"/>
              <w:rPr>
                <w:rFonts w:hint="eastAsia" w:ascii="仿宋" w:hAnsi="仿宋" w:eastAsia="仿宋" w:cs="黑体"/>
                <w:bCs/>
                <w:sz w:val="28"/>
                <w:szCs w:val="28"/>
              </w:rPr>
            </w:pPr>
            <w:r>
              <w:rPr>
                <w:rFonts w:hint="eastAsia" w:ascii="仿宋" w:hAnsi="仿宋" w:eastAsia="仿宋" w:cs="黑体"/>
                <w:bCs/>
                <w:sz w:val="28"/>
                <w:szCs w:val="28"/>
              </w:rPr>
              <w:t>11.1 系统支持与仲裁院庭审综合管理平台实现无缝对接，实现开庭过程中流畅调用语音识别模块功能。</w:t>
            </w:r>
          </w:p>
          <w:p>
            <w:pPr>
              <w:snapToGrid w:val="0"/>
              <w:spacing w:line="579" w:lineRule="exact"/>
              <w:rPr>
                <w:rFonts w:hint="eastAsia" w:ascii="仿宋" w:hAnsi="仿宋" w:eastAsia="仿宋"/>
                <w:sz w:val="28"/>
                <w:szCs w:val="28"/>
              </w:rPr>
            </w:pPr>
            <w:r>
              <w:rPr>
                <w:rFonts w:hint="eastAsia" w:ascii="仿宋" w:hAnsi="仿宋" w:eastAsia="仿宋" w:cs="黑体"/>
                <w:bCs/>
                <w:sz w:val="28"/>
                <w:szCs w:val="28"/>
              </w:rPr>
              <w:t>11.2 并发要求：系统支持至少5个仲裁庭同时实现语音识别转写。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01" w:type="dxa"/>
            <w:vAlign w:val="center"/>
          </w:tcPr>
          <w:p>
            <w:pPr>
              <w:pStyle w:val="19"/>
              <w:spacing w:line="300" w:lineRule="exact"/>
              <w:ind w:firstLine="0" w:firstLineChars="0"/>
              <w:jc w:val="center"/>
              <w:rPr>
                <w:rFonts w:hint="eastAsia" w:ascii="仿宋" w:hAnsi="仿宋" w:eastAsia="仿宋"/>
                <w:sz w:val="28"/>
                <w:szCs w:val="28"/>
              </w:rPr>
            </w:pPr>
            <w:r>
              <w:rPr>
                <w:rFonts w:hint="eastAsia" w:ascii="仿宋" w:hAnsi="仿宋" w:eastAsia="仿宋"/>
                <w:sz w:val="28"/>
                <w:szCs w:val="28"/>
              </w:rPr>
              <w:t>2</w:t>
            </w:r>
          </w:p>
        </w:tc>
        <w:tc>
          <w:tcPr>
            <w:tcW w:w="1082" w:type="dxa"/>
            <w:vAlign w:val="center"/>
          </w:tcPr>
          <w:p>
            <w:pPr>
              <w:snapToGrid w:val="0"/>
              <w:spacing w:line="579" w:lineRule="exact"/>
              <w:jc w:val="center"/>
              <w:rPr>
                <w:rFonts w:hint="eastAsia" w:ascii="仿宋" w:hAnsi="仿宋" w:eastAsia="仿宋"/>
                <w:sz w:val="28"/>
                <w:szCs w:val="28"/>
              </w:rPr>
            </w:pPr>
            <w:r>
              <w:rPr>
                <w:rFonts w:hint="eastAsia" w:ascii="仿宋" w:hAnsi="仿宋" w:eastAsia="仿宋"/>
                <w:sz w:val="28"/>
                <w:szCs w:val="28"/>
              </w:rPr>
              <w:t>智能语音识别服务主机</w:t>
            </w:r>
          </w:p>
        </w:tc>
        <w:tc>
          <w:tcPr>
            <w:tcW w:w="835" w:type="dxa"/>
            <w:vAlign w:val="center"/>
          </w:tcPr>
          <w:p>
            <w:pPr>
              <w:snapToGrid w:val="0"/>
              <w:spacing w:line="579" w:lineRule="exact"/>
              <w:jc w:val="center"/>
              <w:rPr>
                <w:rFonts w:hint="eastAsia" w:ascii="仿宋" w:hAnsi="仿宋" w:eastAsia="仿宋" w:cs="黑体"/>
                <w:bCs/>
                <w:sz w:val="28"/>
                <w:szCs w:val="28"/>
              </w:rPr>
            </w:pPr>
            <w:r>
              <w:rPr>
                <w:rFonts w:hint="eastAsia" w:ascii="仿宋" w:hAnsi="仿宋" w:eastAsia="仿宋" w:cs="黑体"/>
                <w:bCs/>
                <w:sz w:val="28"/>
                <w:szCs w:val="28"/>
              </w:rPr>
              <w:t>1</w:t>
            </w:r>
          </w:p>
        </w:tc>
        <w:tc>
          <w:tcPr>
            <w:tcW w:w="851" w:type="dxa"/>
            <w:vAlign w:val="center"/>
          </w:tcPr>
          <w:p>
            <w:pPr>
              <w:snapToGrid w:val="0"/>
              <w:spacing w:line="579" w:lineRule="exact"/>
              <w:jc w:val="center"/>
              <w:rPr>
                <w:rFonts w:hint="eastAsia" w:ascii="仿宋" w:hAnsi="仿宋" w:eastAsia="仿宋" w:cs="黑体"/>
                <w:bCs/>
                <w:sz w:val="28"/>
                <w:szCs w:val="28"/>
              </w:rPr>
            </w:pPr>
            <w:r>
              <w:rPr>
                <w:rFonts w:hint="eastAsia" w:ascii="仿宋" w:hAnsi="仿宋" w:eastAsia="仿宋" w:cs="黑体"/>
                <w:bCs/>
                <w:sz w:val="28"/>
                <w:szCs w:val="28"/>
              </w:rPr>
              <w:t>台</w:t>
            </w:r>
          </w:p>
        </w:tc>
        <w:tc>
          <w:tcPr>
            <w:tcW w:w="5153" w:type="dxa"/>
            <w:vAlign w:val="center"/>
          </w:tcPr>
          <w:p>
            <w:pPr>
              <w:snapToGrid w:val="0"/>
              <w:spacing w:line="579" w:lineRule="exact"/>
              <w:rPr>
                <w:rFonts w:hint="eastAsia" w:ascii="仿宋" w:hAnsi="仿宋" w:eastAsia="仿宋" w:cs="黑体"/>
                <w:bCs/>
                <w:sz w:val="28"/>
                <w:szCs w:val="28"/>
              </w:rPr>
            </w:pPr>
            <w:r>
              <w:rPr>
                <w:rFonts w:hint="eastAsia" w:ascii="仿宋" w:hAnsi="仿宋" w:eastAsia="仿宋" w:cs="黑体"/>
                <w:bCs/>
                <w:sz w:val="28"/>
                <w:szCs w:val="28"/>
              </w:rPr>
              <w:t>1、处理器：32核及以上，支持avx2指令，主频不低于2.5GHz</w:t>
            </w:r>
          </w:p>
          <w:p>
            <w:pPr>
              <w:snapToGrid w:val="0"/>
              <w:spacing w:line="579" w:lineRule="exact"/>
              <w:rPr>
                <w:rFonts w:hint="eastAsia" w:ascii="仿宋" w:hAnsi="仿宋" w:eastAsia="仿宋" w:cs="黑体"/>
                <w:bCs/>
                <w:sz w:val="28"/>
                <w:szCs w:val="28"/>
              </w:rPr>
            </w:pPr>
            <w:r>
              <w:rPr>
                <w:rFonts w:hint="eastAsia" w:ascii="仿宋" w:hAnsi="仿宋" w:eastAsia="仿宋" w:cs="黑体"/>
                <w:bCs/>
                <w:sz w:val="28"/>
                <w:szCs w:val="28"/>
              </w:rPr>
              <w:t>2、内存：≥128G</w:t>
            </w:r>
          </w:p>
          <w:p>
            <w:pPr>
              <w:snapToGrid w:val="0"/>
              <w:spacing w:line="579" w:lineRule="exact"/>
              <w:rPr>
                <w:rFonts w:hint="eastAsia" w:ascii="仿宋" w:hAnsi="仿宋" w:eastAsia="仿宋" w:cs="黑体"/>
                <w:bCs/>
                <w:sz w:val="28"/>
                <w:szCs w:val="28"/>
              </w:rPr>
            </w:pPr>
            <w:r>
              <w:rPr>
                <w:rFonts w:hint="eastAsia" w:ascii="仿宋" w:hAnsi="仿宋" w:eastAsia="仿宋" w:cs="黑体"/>
                <w:bCs/>
                <w:sz w:val="28"/>
                <w:szCs w:val="28"/>
              </w:rPr>
              <w:t>3、硬盘：≥500G</w:t>
            </w:r>
          </w:p>
          <w:p>
            <w:pPr>
              <w:snapToGrid w:val="0"/>
              <w:spacing w:line="579" w:lineRule="exact"/>
              <w:rPr>
                <w:rFonts w:hint="eastAsia" w:ascii="仿宋" w:hAnsi="仿宋" w:eastAsia="仿宋" w:cs="黑体"/>
                <w:bCs/>
                <w:sz w:val="28"/>
                <w:szCs w:val="28"/>
              </w:rPr>
            </w:pPr>
            <w:r>
              <w:rPr>
                <w:rFonts w:hint="eastAsia" w:ascii="仿宋" w:hAnsi="仿宋" w:eastAsia="仿宋" w:cs="黑体"/>
                <w:bCs/>
                <w:sz w:val="28"/>
                <w:szCs w:val="28"/>
              </w:rPr>
              <w:t>4、电源：600W单电源</w:t>
            </w:r>
          </w:p>
          <w:p>
            <w:pPr>
              <w:snapToGrid w:val="0"/>
              <w:spacing w:line="579" w:lineRule="exact"/>
              <w:rPr>
                <w:rFonts w:hint="eastAsia" w:ascii="仿宋" w:hAnsi="仿宋" w:eastAsia="仿宋" w:cs="黑体"/>
                <w:bCs/>
                <w:sz w:val="28"/>
                <w:szCs w:val="28"/>
              </w:rPr>
            </w:pPr>
            <w:r>
              <w:rPr>
                <w:rFonts w:hint="eastAsia" w:ascii="仿宋" w:hAnsi="仿宋" w:eastAsia="仿宋" w:cs="黑体"/>
                <w:bCs/>
                <w:sz w:val="28"/>
                <w:szCs w:val="28"/>
              </w:rPr>
              <w:t>5、服务主机</w:t>
            </w:r>
            <w:r>
              <w:rPr>
                <w:rFonts w:hint="eastAsia" w:ascii="仿宋" w:hAnsi="仿宋" w:eastAsia="仿宋" w:cs="黑体"/>
                <w:bCs/>
                <w:sz w:val="28"/>
                <w:szCs w:val="28"/>
                <w:lang w:eastAsia="zh-CN"/>
              </w:rPr>
              <w:t>可</w:t>
            </w:r>
            <w:r>
              <w:rPr>
                <w:rFonts w:hint="eastAsia" w:ascii="仿宋" w:hAnsi="仿宋" w:eastAsia="仿宋" w:cs="黑体"/>
                <w:bCs/>
                <w:sz w:val="28"/>
                <w:szCs w:val="28"/>
              </w:rPr>
              <w:t>对接福田区已部署的庭审综合管理系统，</w:t>
            </w:r>
            <w:r>
              <w:rPr>
                <w:rFonts w:hint="eastAsia" w:ascii="仿宋" w:hAnsi="仿宋" w:eastAsia="仿宋" w:cs="黑体"/>
                <w:bCs/>
                <w:sz w:val="28"/>
                <w:szCs w:val="28"/>
                <w:lang w:eastAsia="zh-CN"/>
              </w:rPr>
              <w:t>并能</w:t>
            </w:r>
            <w:r>
              <w:rPr>
                <w:rFonts w:hint="eastAsia" w:ascii="仿宋" w:hAnsi="仿宋" w:eastAsia="仿宋" w:cs="黑体"/>
                <w:bCs/>
                <w:sz w:val="28"/>
                <w:szCs w:val="28"/>
              </w:rPr>
              <w:t>实现以下功能：</w:t>
            </w:r>
          </w:p>
          <w:p>
            <w:pPr>
              <w:snapToGrid w:val="0"/>
              <w:spacing w:line="579" w:lineRule="exact"/>
              <w:rPr>
                <w:rFonts w:hint="eastAsia" w:ascii="仿宋" w:hAnsi="仿宋" w:eastAsia="仿宋" w:cs="黑体"/>
                <w:bCs/>
                <w:sz w:val="28"/>
                <w:szCs w:val="28"/>
              </w:rPr>
            </w:pPr>
            <w:r>
              <w:rPr>
                <w:rFonts w:hint="eastAsia" w:ascii="仿宋" w:hAnsi="仿宋" w:eastAsia="仿宋" w:cs="黑体"/>
                <w:bCs/>
                <w:sz w:val="28"/>
                <w:szCs w:val="28"/>
              </w:rPr>
              <w:t>笔录模版导入导出：支持笔录模板在开庭后导入和闭庭后导出下载</w:t>
            </w:r>
          </w:p>
          <w:p>
            <w:pPr>
              <w:snapToGrid w:val="0"/>
              <w:spacing w:line="579" w:lineRule="exact"/>
              <w:rPr>
                <w:rFonts w:hint="eastAsia" w:ascii="仿宋" w:hAnsi="仿宋" w:eastAsia="仿宋" w:cs="黑体"/>
                <w:bCs/>
                <w:sz w:val="28"/>
                <w:szCs w:val="28"/>
              </w:rPr>
            </w:pPr>
            <w:r>
              <w:rPr>
                <w:rFonts w:hint="eastAsia" w:ascii="仿宋" w:hAnsi="仿宋" w:eastAsia="仿宋" w:cs="黑体"/>
                <w:bCs/>
                <w:sz w:val="28"/>
                <w:szCs w:val="28"/>
              </w:rPr>
              <w:t>一键开庭、闭庭：支持通过对应按钮实现一键快速开庭和闭庭</w:t>
            </w:r>
          </w:p>
          <w:p>
            <w:pPr>
              <w:snapToGrid w:val="0"/>
              <w:spacing w:line="579" w:lineRule="exact"/>
              <w:rPr>
                <w:rFonts w:hint="eastAsia" w:ascii="仿宋" w:hAnsi="仿宋" w:eastAsia="仿宋" w:cs="黑体"/>
                <w:bCs/>
                <w:sz w:val="28"/>
                <w:szCs w:val="28"/>
              </w:rPr>
            </w:pPr>
            <w:r>
              <w:rPr>
                <w:rFonts w:hint="eastAsia" w:ascii="仿宋" w:hAnsi="仿宋" w:eastAsia="仿宋" w:cs="黑体"/>
                <w:bCs/>
                <w:sz w:val="28"/>
                <w:szCs w:val="28"/>
              </w:rPr>
              <w:t>庭审阶段控制：支持开庭时中途休庭和继续开庭的控制管理</w:t>
            </w:r>
          </w:p>
          <w:p>
            <w:pPr>
              <w:snapToGrid w:val="0"/>
              <w:spacing w:line="579" w:lineRule="exact"/>
              <w:rPr>
                <w:rFonts w:hint="eastAsia" w:ascii="仿宋" w:hAnsi="仿宋" w:eastAsia="仿宋" w:cs="黑体"/>
                <w:bCs/>
                <w:sz w:val="28"/>
                <w:szCs w:val="28"/>
              </w:rPr>
            </w:pPr>
            <w:r>
              <w:rPr>
                <w:rFonts w:hint="eastAsia" w:ascii="仿宋" w:hAnsi="仿宋" w:eastAsia="仿宋" w:cs="黑体"/>
                <w:bCs/>
                <w:sz w:val="28"/>
                <w:szCs w:val="28"/>
              </w:rPr>
              <w:t>示证切换控制：支持通过画面控制进行示证展台画面和书记员电脑画面的切换控制</w:t>
            </w:r>
          </w:p>
          <w:p>
            <w:pPr>
              <w:snapToGrid w:val="0"/>
              <w:spacing w:line="579" w:lineRule="exact"/>
              <w:rPr>
                <w:rFonts w:hint="eastAsia" w:ascii="仿宋" w:hAnsi="仿宋" w:eastAsia="仿宋" w:cs="黑体"/>
                <w:bCs/>
                <w:sz w:val="28"/>
                <w:szCs w:val="28"/>
              </w:rPr>
            </w:pPr>
            <w:r>
              <w:rPr>
                <w:rFonts w:hint="eastAsia" w:ascii="仿宋" w:hAnsi="仿宋" w:eastAsia="仿宋" w:cs="黑体"/>
                <w:bCs/>
                <w:sz w:val="28"/>
                <w:szCs w:val="28"/>
              </w:rPr>
              <w:t>笔录当庭校对：支持通过画面控制把书记员电脑画面发送给其他人员电脑画面上进行笔录当庭校对</w:t>
            </w:r>
          </w:p>
          <w:p>
            <w:pPr>
              <w:snapToGrid w:val="0"/>
              <w:spacing w:line="579" w:lineRule="exact"/>
              <w:rPr>
                <w:rFonts w:hint="eastAsia" w:ascii="仿宋" w:hAnsi="仿宋" w:eastAsia="仿宋" w:cs="黑体"/>
                <w:bCs/>
                <w:sz w:val="28"/>
                <w:szCs w:val="28"/>
              </w:rPr>
            </w:pPr>
            <w:r>
              <w:rPr>
                <w:rFonts w:hint="eastAsia" w:ascii="仿宋" w:hAnsi="仿宋" w:eastAsia="仿宋" w:cs="黑体"/>
                <w:bCs/>
                <w:sz w:val="28"/>
                <w:szCs w:val="28"/>
              </w:rPr>
              <w:t>本地和远程笔录打印：支持书记员电脑本地直接打印和远程打印笔录</w:t>
            </w:r>
          </w:p>
          <w:p>
            <w:pPr>
              <w:snapToGrid w:val="0"/>
              <w:spacing w:line="579" w:lineRule="exact"/>
              <w:rPr>
                <w:rFonts w:hint="eastAsia" w:ascii="仿宋" w:hAnsi="仿宋" w:eastAsia="仿宋" w:cs="黑体"/>
                <w:bCs/>
                <w:sz w:val="28"/>
                <w:szCs w:val="28"/>
              </w:rPr>
            </w:pPr>
            <w:r>
              <w:rPr>
                <w:rFonts w:hint="eastAsia" w:ascii="仿宋" w:hAnsi="仿宋" w:eastAsia="仿宋" w:cs="黑体"/>
                <w:bCs/>
                <w:sz w:val="28"/>
                <w:szCs w:val="28"/>
              </w:rPr>
              <w:t>智能问答功能：支持通过庭审系统随时唤起AI智能助手，实现基于国产生成式大语言模型的智能问答与法律法规查询、释义功能。</w:t>
            </w:r>
          </w:p>
          <w:p>
            <w:pPr>
              <w:snapToGrid w:val="0"/>
              <w:spacing w:line="579" w:lineRule="exact"/>
              <w:rPr>
                <w:rFonts w:hint="eastAsia" w:ascii="仿宋" w:hAnsi="仿宋" w:eastAsia="仿宋" w:cs="黑体"/>
                <w:bCs/>
                <w:sz w:val="28"/>
                <w:szCs w:val="28"/>
              </w:rPr>
            </w:pPr>
            <w:r>
              <w:rPr>
                <w:rFonts w:hint="eastAsia" w:ascii="仿宋" w:hAnsi="仿宋" w:eastAsia="仿宋" w:cs="黑体"/>
                <w:bCs/>
                <w:sz w:val="28"/>
                <w:szCs w:val="28"/>
              </w:rPr>
              <w:t>系统支持语音识别模块，软件采用B/S架构并嵌入庭审综合管理平台，与PCM处理系统无缝对接，</w:t>
            </w:r>
            <w:bookmarkStart w:id="0" w:name="_GoBack"/>
            <w:bookmarkEnd w:id="0"/>
            <w:r>
              <w:rPr>
                <w:rFonts w:hint="eastAsia" w:ascii="仿宋" w:hAnsi="仿宋" w:eastAsia="仿宋" w:cs="黑体"/>
                <w:bCs/>
                <w:sz w:val="28"/>
                <w:szCs w:val="28"/>
              </w:rPr>
              <w:t>实现高实时性的角色区分语音转文字功能，中文普通话识别准确率≥98.5%（提供承诺书）。</w:t>
            </w:r>
          </w:p>
          <w:p>
            <w:pPr>
              <w:snapToGrid w:val="0"/>
              <w:spacing w:line="579" w:lineRule="exact"/>
              <w:rPr>
                <w:rFonts w:hint="eastAsia" w:ascii="仿宋" w:hAnsi="仿宋" w:eastAsia="仿宋" w:cs="黑体"/>
                <w:bCs/>
                <w:sz w:val="28"/>
                <w:szCs w:val="28"/>
              </w:rPr>
            </w:pPr>
            <w:r>
              <w:rPr>
                <w:rFonts w:hint="eastAsia" w:ascii="仿宋" w:hAnsi="仿宋" w:eastAsia="仿宋" w:cs="黑体"/>
                <w:bCs/>
                <w:sz w:val="28"/>
                <w:szCs w:val="28"/>
              </w:rPr>
              <w:t>音视频文件播放、上传、保存</w:t>
            </w:r>
          </w:p>
          <w:p>
            <w:pPr>
              <w:snapToGrid w:val="0"/>
              <w:spacing w:line="579" w:lineRule="exact"/>
              <w:rPr>
                <w:rFonts w:hint="eastAsia" w:ascii="仿宋" w:hAnsi="仿宋" w:eastAsia="仿宋" w:cs="黑体"/>
                <w:bCs/>
                <w:sz w:val="28"/>
                <w:szCs w:val="28"/>
              </w:rPr>
            </w:pPr>
            <w:r>
              <w:rPr>
                <w:rFonts w:hint="eastAsia" w:ascii="仿宋" w:hAnsi="仿宋" w:eastAsia="仿宋" w:cs="黑体"/>
                <w:bCs/>
                <w:sz w:val="28"/>
                <w:szCs w:val="28"/>
              </w:rPr>
              <w:t>音视频文件管理：支持音视频文件的添加上传、宣读播放和下载保存</w:t>
            </w:r>
          </w:p>
          <w:p>
            <w:pPr>
              <w:snapToGrid w:val="0"/>
              <w:spacing w:line="579" w:lineRule="exact"/>
              <w:rPr>
                <w:rFonts w:hint="eastAsia" w:ascii="仿宋" w:hAnsi="仿宋" w:eastAsia="仿宋" w:cs="黑体"/>
                <w:bCs/>
                <w:sz w:val="28"/>
                <w:szCs w:val="28"/>
              </w:rPr>
            </w:pPr>
            <w:r>
              <w:rPr>
                <w:rFonts w:hint="eastAsia" w:ascii="仿宋" w:hAnsi="仿宋" w:eastAsia="仿宋" w:cs="黑体"/>
                <w:bCs/>
                <w:sz w:val="28"/>
                <w:szCs w:val="28"/>
              </w:rPr>
              <w:t>实物展示、远程播放传输音视频文件展示等</w:t>
            </w:r>
          </w:p>
          <w:p>
            <w:pPr>
              <w:snapToGrid w:val="0"/>
              <w:spacing w:line="579" w:lineRule="exact"/>
              <w:rPr>
                <w:rFonts w:hint="eastAsia" w:ascii="仿宋" w:hAnsi="仿宋" w:eastAsia="仿宋" w:cs="黑体"/>
                <w:bCs/>
                <w:sz w:val="28"/>
                <w:szCs w:val="28"/>
              </w:rPr>
            </w:pPr>
            <w:r>
              <w:rPr>
                <w:rFonts w:hint="eastAsia" w:ascii="仿宋" w:hAnsi="仿宋" w:eastAsia="仿宋" w:cs="黑体"/>
                <w:bCs/>
                <w:sz w:val="28"/>
                <w:szCs w:val="28"/>
              </w:rPr>
              <w:t>本地和远程示证展示：支持开庭时示证实物展示和远程音视频文件展示</w:t>
            </w:r>
          </w:p>
          <w:p>
            <w:pPr>
              <w:snapToGrid w:val="0"/>
              <w:spacing w:line="579" w:lineRule="exact"/>
              <w:rPr>
                <w:rFonts w:hint="eastAsia" w:ascii="仿宋" w:hAnsi="仿宋" w:eastAsia="仿宋" w:cs="黑体"/>
                <w:bCs/>
                <w:sz w:val="28"/>
                <w:szCs w:val="28"/>
              </w:rPr>
            </w:pPr>
            <w:r>
              <w:rPr>
                <w:rFonts w:hint="eastAsia" w:ascii="仿宋" w:hAnsi="仿宋" w:eastAsia="仿宋" w:cs="黑体"/>
                <w:bCs/>
                <w:sz w:val="28"/>
                <w:szCs w:val="28"/>
              </w:rPr>
              <w:t>数据多重备份：支持庭审录像实现硬盘备份、光盘备份，服务器多备份，实现3+备份</w:t>
            </w:r>
          </w:p>
          <w:p>
            <w:pPr>
              <w:snapToGrid w:val="0"/>
              <w:spacing w:line="579" w:lineRule="exact"/>
              <w:rPr>
                <w:rFonts w:hint="eastAsia" w:ascii="仿宋" w:hAnsi="仿宋" w:eastAsia="仿宋" w:cs="黑体"/>
                <w:bCs/>
                <w:sz w:val="28"/>
                <w:szCs w:val="28"/>
              </w:rPr>
            </w:pPr>
            <w:r>
              <w:rPr>
                <w:rFonts w:hint="eastAsia" w:ascii="仿宋" w:hAnsi="仿宋" w:eastAsia="仿宋" w:cs="黑体"/>
                <w:bCs/>
                <w:sz w:val="28"/>
                <w:szCs w:val="28"/>
              </w:rPr>
              <w:t>一键开庭自动录像，进行全数字化归档</w:t>
            </w:r>
          </w:p>
          <w:p>
            <w:pPr>
              <w:snapToGrid w:val="0"/>
              <w:spacing w:line="579" w:lineRule="exact"/>
              <w:rPr>
                <w:rFonts w:hint="eastAsia" w:ascii="仿宋" w:hAnsi="仿宋" w:eastAsia="仿宋" w:cs="黑体"/>
                <w:bCs/>
                <w:sz w:val="28"/>
                <w:szCs w:val="28"/>
              </w:rPr>
            </w:pPr>
            <w:r>
              <w:rPr>
                <w:rFonts w:hint="eastAsia" w:ascii="仿宋" w:hAnsi="仿宋" w:eastAsia="仿宋" w:cs="黑体"/>
                <w:bCs/>
                <w:sz w:val="28"/>
                <w:szCs w:val="28"/>
              </w:rPr>
              <w:t>自动录像归档：支持开庭时自动同步开启录像，闭庭时自动关闭录像并保存</w:t>
            </w:r>
          </w:p>
          <w:p>
            <w:pPr>
              <w:snapToGrid w:val="0"/>
              <w:spacing w:line="579" w:lineRule="exact"/>
              <w:rPr>
                <w:rFonts w:hint="eastAsia" w:ascii="仿宋" w:hAnsi="仿宋" w:eastAsia="仿宋" w:cs="黑体"/>
                <w:bCs/>
                <w:sz w:val="28"/>
                <w:szCs w:val="28"/>
              </w:rPr>
            </w:pPr>
            <w:r>
              <w:rPr>
                <w:rFonts w:hint="eastAsia" w:ascii="仿宋" w:hAnsi="仿宋" w:eastAsia="仿宋" w:cs="黑体"/>
                <w:bCs/>
                <w:sz w:val="28"/>
                <w:szCs w:val="28"/>
              </w:rPr>
              <w:t>用户权限分级管理：支持根据不同系统用户管理设定不同系统操作权限</w:t>
            </w:r>
          </w:p>
          <w:p>
            <w:pPr>
              <w:snapToGrid w:val="0"/>
              <w:spacing w:line="579" w:lineRule="exact"/>
              <w:rPr>
                <w:rFonts w:hint="eastAsia" w:ascii="仿宋" w:hAnsi="仿宋" w:eastAsia="仿宋" w:cs="黑体"/>
                <w:bCs/>
                <w:sz w:val="28"/>
                <w:szCs w:val="28"/>
              </w:rPr>
            </w:pPr>
            <w:r>
              <w:rPr>
                <w:rFonts w:hint="eastAsia" w:ascii="仿宋" w:hAnsi="仿宋" w:eastAsia="仿宋" w:cs="黑体"/>
                <w:bCs/>
                <w:sz w:val="28"/>
                <w:szCs w:val="28"/>
              </w:rPr>
              <w:t>案件排期管理：支持案件排期参数的修改设置管理</w:t>
            </w:r>
          </w:p>
          <w:p>
            <w:pPr>
              <w:snapToGrid w:val="0"/>
              <w:spacing w:line="579" w:lineRule="exact"/>
              <w:rPr>
                <w:rFonts w:hint="eastAsia" w:ascii="仿宋" w:hAnsi="仿宋" w:eastAsia="仿宋" w:cs="黑体"/>
                <w:bCs/>
                <w:sz w:val="28"/>
                <w:szCs w:val="28"/>
              </w:rPr>
            </w:pPr>
            <w:r>
              <w:rPr>
                <w:rFonts w:hint="eastAsia" w:ascii="仿宋" w:hAnsi="仿宋" w:eastAsia="仿宋" w:cs="黑体"/>
                <w:bCs/>
                <w:sz w:val="28"/>
                <w:szCs w:val="28"/>
              </w:rPr>
              <w:t>支持与深圳市劳动人事争议调解仲裁系统无缝对接（提供对接承诺函，格式自拟）</w:t>
            </w:r>
          </w:p>
        </w:tc>
      </w:tr>
    </w:tbl>
    <w:p>
      <w:pPr>
        <w:snapToGrid w:val="0"/>
        <w:spacing w:line="579"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三、商务需求</w:t>
      </w:r>
    </w:p>
    <w:p>
      <w:pPr>
        <w:snapToGrid w:val="0"/>
        <w:spacing w:line="579" w:lineRule="exact"/>
        <w:ind w:firstLine="560" w:firstLineChars="200"/>
        <w:rPr>
          <w:rFonts w:hint="eastAsia" w:ascii="黑体" w:hAnsi="黑体" w:eastAsia="黑体" w:cs="黑体"/>
          <w:bCs/>
          <w:sz w:val="28"/>
          <w:szCs w:val="28"/>
        </w:rPr>
      </w:pPr>
      <w:r>
        <w:rPr>
          <w:rFonts w:hint="eastAsia" w:ascii="仿宋_GB2312" w:eastAsia="仿宋_GB2312"/>
          <w:bCs/>
          <w:sz w:val="28"/>
          <w:szCs w:val="28"/>
        </w:rPr>
        <w:t>（一）服务期：签订合同之日起30日内</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（二）服务地点：深圳市福田区劳动人事争议仲裁院</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（三）报价要求：</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1.本项目服务费采用包干制，应包括服务成本、法定税费和企业的利润。由响应人根据采购文件所提供的资料自行测算响应报价；一经中选，报价总价作为供应商与采购人签定的合同金额，合同期限内不做调整；</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2.响应人应根据本企业的成本自行决定报价，但不得以低于其企业成本的报价响应；</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3.响应人的报价不得超过项目预算金额；</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4.响应人的报价，应是本项目采购范围和采购文件及合同条款上所列的各项内容中所述的全部，不得以任何理由予以重复，并以响应人最终提出的综合单价或者总价为依据；</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5.响应人无须对电脑、显示器、打印机、液晶电视、手提电脑等采购人拟通过政府集采购置的设备进行报价；</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5.除非采购人通过修改采购文件予以更正，否则，响应人应毫无例外地按响应文件所列的清单中项目和数量填报综合单价和合价；</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6.响应人应先到项目地点踏勘以充分了解项目的位置、情况、道路及任何其它足以影响投标报价的情况，任何因忽视或者误解项目情况而导致的索赔或者服务期限延长申请将不获批准；</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7.响应人不得期望通过索赔等方式获取报价补偿，否则，除可能遭到拒绝外，还可能将被作为不良行为记录在案，并可能影响其以后参加政府采购的项目投标。各响应人在报价时，应充分考虑报价的风险。</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（四）付款方式：按照完成服务工作进度和工作量制定分期付款方式，由采购人和供应商协商决定。</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（五）验收：采购人在项目建设完成后，将按照合同约定的内容对设备进行逐项验收。项目验收后，双方共同签署验收报告，验收报告将作为服务费尾款支付的重要依据。</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（六）违约责任：</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1.质量瑕疵的补救措施和索赔</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供应商提供的设备不符合质量标准或存在质量缺陷，采购人有权根据法定质量检测部门出具的检验证书向供应商人提出索赔。</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2.在质量保证期内，如果供应商对缺陷设备负有责任而采购人提出索赔，供应商应按照采购人同意的下列一种或多种方式解决索赔事宜：</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（1）供应商同意退货并将货款退还给采购人，由此发生的一切费用和损失由供应商承担。</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（2）根据设备的质量状况以及采购人所遭受的损失，经过双方商定降低设备的价格。</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3）供应商应在接到采购人通知后七天内负责采用符合合同规定的规格、质量和性能要求的新零件、部件和设备来替换有缺陷的部分或修补缺陷部分，其费用由供应商负担；同时，供应商应在约定的质量保证期基础上相应延长修补和/或替换件的质量保证期。</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3.如果在采购人发出索赔通知后十天内供应商未作答复，上述索赔应视为已被供应商接受。如果供应商未能在采购人发出索赔通知后十天内或采购人同意延长的期限内，按照上述规定的任何一种方法采取补救措施，采购人有权从应付货款中扣除索赔金额或者没收质量保证金，如不足以弥补采购人损失的，采购人有权进一步要求供应商赔偿。</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（七）其他：</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1.供应商应派有经验的技术人员到现场进行安装、调试，直到设备正常使用；</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2.供应商应提供售后服务队伍名称、资质、人员配备、联系地址、电话等详细资料；</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3.质量保证期为3年，时间自验收合格并交付使用之日起计算。在质保期内：如遇与所供产品有关的问题，供应商应1小时内响应，4小时提供解决方案，在接采购人通知后24小时内赶到现场提供免费服务；应无偿并迅速更换由于元件缺陷及制造工艺等问题而发生故障的产品；采购人如果迁移，应免费协助指导设备拆除及新场地安装；</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4.在质保期结束前半年内，供应商须派专业工程师与采购人代表对系统设备进行另一次测试维保，任何故障由供应商自费解决并取得采购人的认可；</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5.质保期满后：如遇与所供产品有关的问题，供应商应1小时内响应，4小时提供解决方案，24小时内赶到现场提供服务；若小型设备出现问题，如有试验需求时，维修过程中应提供合格产品供采购人短期使用；为此项目应以优惠价格终生提供保障其正常运行的配件和维护并能提供送货上门服务（以设备正常使用年限为限），应按其在深圳地区同类服务的优惠价格提供保修服务；</w:t>
      </w:r>
    </w:p>
    <w:p>
      <w:pPr>
        <w:snapToGrid w:val="0"/>
        <w:spacing w:line="579" w:lineRule="exact"/>
        <w:ind w:firstLine="560" w:firstLineChars="200"/>
        <w:rPr>
          <w:rFonts w:hint="eastAsia" w:ascii="仿宋_GB2312" w:eastAsia="仿宋_GB2312"/>
          <w:b/>
          <w:sz w:val="28"/>
          <w:szCs w:val="28"/>
        </w:rPr>
      </w:pPr>
      <w:r>
        <w:rPr>
          <w:rFonts w:hint="eastAsia" w:ascii="仿宋_GB2312" w:eastAsia="仿宋_GB2312"/>
          <w:bCs/>
          <w:sz w:val="28"/>
          <w:szCs w:val="28"/>
        </w:rPr>
        <w:t>6.供应商需每年定期按采购人要求派遣专业工程师进行技术交流指导。</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85E6E2"/>
    <w:multiLevelType w:val="singleLevel"/>
    <w:tmpl w:val="C885E6E2"/>
    <w:lvl w:ilvl="0" w:tentative="0">
      <w:start w:val="2"/>
      <w:numFmt w:val="chineseCounting"/>
      <w:suff w:val="nothing"/>
      <w:lvlText w:val="%1、"/>
      <w:lvlJc w:val="left"/>
      <w:rPr>
        <w:rFonts w:hint="eastAsia"/>
      </w:rPr>
    </w:lvl>
  </w:abstractNum>
  <w:abstractNum w:abstractNumId="1">
    <w:nsid w:val="646260FA"/>
    <w:multiLevelType w:val="multilevel"/>
    <w:tmpl w:val="646260FA"/>
    <w:lvl w:ilvl="0" w:tentative="0">
      <w:start w:val="1"/>
      <w:numFmt w:val="decimal"/>
      <w:pStyle w:val="18"/>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6DBF04F4"/>
    <w:multiLevelType w:val="multilevel"/>
    <w:tmpl w:val="6DBF04F4"/>
    <w:lvl w:ilvl="0" w:tentative="0">
      <w:start w:val="1"/>
      <w:numFmt w:val="none"/>
      <w:pStyle w:val="2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xYzZmNGFlMjg2OTlkOTg2MmJhMjYzOGIxYTEzZmQifQ=="/>
  </w:docVars>
  <w:rsids>
    <w:rsidRoot w:val="FFFF3A3B"/>
    <w:rsid w:val="001F155E"/>
    <w:rsid w:val="00213F17"/>
    <w:rsid w:val="002B7A5E"/>
    <w:rsid w:val="003F3863"/>
    <w:rsid w:val="0068690E"/>
    <w:rsid w:val="008B7EFF"/>
    <w:rsid w:val="009D0185"/>
    <w:rsid w:val="00A25C41"/>
    <w:rsid w:val="00A40A78"/>
    <w:rsid w:val="00A67920"/>
    <w:rsid w:val="00C92AB6"/>
    <w:rsid w:val="00D12152"/>
    <w:rsid w:val="00DE3FEF"/>
    <w:rsid w:val="00DF46F9"/>
    <w:rsid w:val="00E04571"/>
    <w:rsid w:val="00E61898"/>
    <w:rsid w:val="0206141C"/>
    <w:rsid w:val="07B97ED4"/>
    <w:rsid w:val="088724A4"/>
    <w:rsid w:val="177F7B69"/>
    <w:rsid w:val="2E6FFC4A"/>
    <w:rsid w:val="2F5ABB1F"/>
    <w:rsid w:val="2F5E6713"/>
    <w:rsid w:val="36EDB7AD"/>
    <w:rsid w:val="37EFCF21"/>
    <w:rsid w:val="3EFEE3B9"/>
    <w:rsid w:val="3FF38E4A"/>
    <w:rsid w:val="412F5ECA"/>
    <w:rsid w:val="41765261"/>
    <w:rsid w:val="477D54EB"/>
    <w:rsid w:val="4BF53443"/>
    <w:rsid w:val="529E2307"/>
    <w:rsid w:val="5BED357E"/>
    <w:rsid w:val="5EADC10E"/>
    <w:rsid w:val="5F77289B"/>
    <w:rsid w:val="61B22326"/>
    <w:rsid w:val="6C440485"/>
    <w:rsid w:val="6CC34CE3"/>
    <w:rsid w:val="6DF7D88A"/>
    <w:rsid w:val="6F3CB7E9"/>
    <w:rsid w:val="6F8B3A62"/>
    <w:rsid w:val="6FBFE3D3"/>
    <w:rsid w:val="6FDA1C82"/>
    <w:rsid w:val="6FFDB520"/>
    <w:rsid w:val="71475B21"/>
    <w:rsid w:val="73DDBECE"/>
    <w:rsid w:val="74BB065F"/>
    <w:rsid w:val="75FBFFBA"/>
    <w:rsid w:val="75FF398E"/>
    <w:rsid w:val="776DBBA2"/>
    <w:rsid w:val="79EC0992"/>
    <w:rsid w:val="7D5BCBDA"/>
    <w:rsid w:val="7D7FF47A"/>
    <w:rsid w:val="7DFF8BA1"/>
    <w:rsid w:val="7E7D2023"/>
    <w:rsid w:val="7EA592BF"/>
    <w:rsid w:val="7F474449"/>
    <w:rsid w:val="7F5E43D6"/>
    <w:rsid w:val="7F6FC615"/>
    <w:rsid w:val="7F8FD6CC"/>
    <w:rsid w:val="7FF4E33F"/>
    <w:rsid w:val="7FF7BAB6"/>
    <w:rsid w:val="83EEBB14"/>
    <w:rsid w:val="8CCB72EE"/>
    <w:rsid w:val="9DBD843E"/>
    <w:rsid w:val="9F7BEC10"/>
    <w:rsid w:val="9FDF5E06"/>
    <w:rsid w:val="A3BDC4B1"/>
    <w:rsid w:val="A7B2B052"/>
    <w:rsid w:val="ABE9E356"/>
    <w:rsid w:val="AE69A740"/>
    <w:rsid w:val="AEDC0902"/>
    <w:rsid w:val="B39F7DAE"/>
    <w:rsid w:val="BD77A451"/>
    <w:rsid w:val="D7BB3BB6"/>
    <w:rsid w:val="D7ED58BA"/>
    <w:rsid w:val="D7ED9627"/>
    <w:rsid w:val="D7F71223"/>
    <w:rsid w:val="D7FF7B7F"/>
    <w:rsid w:val="DAFE8C6A"/>
    <w:rsid w:val="DB6B1D0A"/>
    <w:rsid w:val="DC3D5BB2"/>
    <w:rsid w:val="DD57336A"/>
    <w:rsid w:val="DDFED0A2"/>
    <w:rsid w:val="DFC3A8A7"/>
    <w:rsid w:val="DFF2E7FA"/>
    <w:rsid w:val="E7FB3370"/>
    <w:rsid w:val="EAFF627B"/>
    <w:rsid w:val="EFAF3EF9"/>
    <w:rsid w:val="F3BDB5D1"/>
    <w:rsid w:val="F5FEC221"/>
    <w:rsid w:val="F7BE3BEE"/>
    <w:rsid w:val="F7FF3631"/>
    <w:rsid w:val="F926C1BA"/>
    <w:rsid w:val="FA4D2E3E"/>
    <w:rsid w:val="FAF77C95"/>
    <w:rsid w:val="FBF3D30F"/>
    <w:rsid w:val="FBFBFD3C"/>
    <w:rsid w:val="FDDBD9D5"/>
    <w:rsid w:val="FDEF27D7"/>
    <w:rsid w:val="FEFB5C0E"/>
    <w:rsid w:val="FEFF4941"/>
    <w:rsid w:val="FF3E776C"/>
    <w:rsid w:val="FF3F499E"/>
    <w:rsid w:val="FF5F3A0D"/>
    <w:rsid w:val="FF7CF2E3"/>
    <w:rsid w:val="FFDF6DB6"/>
    <w:rsid w:val="FFF7A206"/>
    <w:rsid w:val="FFFF3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560" w:lineRule="exact"/>
      <w:ind w:firstLine="420" w:firstLineChars="200"/>
    </w:pPr>
  </w:style>
  <w:style w:type="paragraph" w:styleId="4">
    <w:name w:val="annotation text"/>
    <w:basedOn w:val="1"/>
    <w:qFormat/>
    <w:uiPriority w:val="0"/>
    <w:pPr>
      <w:jc w:val="left"/>
    </w:pPr>
  </w:style>
  <w:style w:type="paragraph" w:styleId="5">
    <w:name w:val="Body Text"/>
    <w:basedOn w:val="1"/>
    <w:qFormat/>
    <w:uiPriority w:val="0"/>
    <w:pPr>
      <w:spacing w:after="120"/>
    </w:pPr>
  </w:style>
  <w:style w:type="paragraph" w:styleId="6">
    <w:name w:val="Balloon Text"/>
    <w:basedOn w:val="1"/>
    <w:link w:val="2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footnote text"/>
    <w:basedOn w:val="1"/>
    <w:qFormat/>
    <w:uiPriority w:val="0"/>
    <w:pPr>
      <w:snapToGrid w:val="0"/>
      <w:jc w:val="left"/>
    </w:pPr>
    <w:rPr>
      <w:sz w:val="18"/>
    </w:rPr>
  </w:style>
  <w:style w:type="table" w:styleId="11">
    <w:name w:val="Table Grid"/>
    <w:basedOn w:val="1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otnote reference"/>
    <w:basedOn w:val="12"/>
    <w:qFormat/>
    <w:uiPriority w:val="0"/>
    <w:rPr>
      <w:vertAlign w:val="superscript"/>
    </w:rPr>
  </w:style>
  <w:style w:type="paragraph" w:customStyle="1" w:styleId="14">
    <w:name w:val="p0"/>
    <w:basedOn w:val="1"/>
    <w:qFormat/>
    <w:uiPriority w:val="0"/>
    <w:pPr>
      <w:widowControl/>
    </w:pPr>
    <w:rPr>
      <w:rFonts w:hint="eastAsia" w:ascii="宋体" w:hAnsi="宋体"/>
    </w:rPr>
  </w:style>
  <w:style w:type="paragraph" w:customStyle="1" w:styleId="15">
    <w:name w:val="列出段落2"/>
    <w:basedOn w:val="1"/>
    <w:qFormat/>
    <w:uiPriority w:val="34"/>
    <w:pPr>
      <w:ind w:firstLine="420" w:firstLineChars="200"/>
    </w:pPr>
  </w:style>
  <w:style w:type="paragraph" w:customStyle="1" w:styleId="16">
    <w:name w:val="p15"/>
    <w:basedOn w:val="1"/>
    <w:qFormat/>
    <w:uiPriority w:val="0"/>
    <w:pPr>
      <w:widowControl/>
    </w:pPr>
    <w:rPr>
      <w:rFonts w:hint="eastAsia" w:ascii="宋体" w:hAnsi="宋体"/>
    </w:rPr>
  </w:style>
  <w:style w:type="paragraph" w:customStyle="1" w:styleId="17">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标准文件_正文表标题"/>
    <w:next w:val="19"/>
    <w:qFormat/>
    <w:uiPriority w:val="0"/>
    <w:pPr>
      <w:numPr>
        <w:ilvl w:val="0"/>
        <w:numId w:val="1"/>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9">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
    <w:name w:val="标准文件_注："/>
    <w:next w:val="19"/>
    <w:qFormat/>
    <w:uiPriority w:val="0"/>
    <w:pPr>
      <w:widowControl w:val="0"/>
      <w:numPr>
        <w:ilvl w:val="0"/>
        <w:numId w:val="2"/>
      </w:numPr>
      <w:autoSpaceDE w:val="0"/>
      <w:autoSpaceDN w:val="0"/>
      <w:jc w:val="both"/>
    </w:pPr>
    <w:rPr>
      <w:rFonts w:ascii="宋体" w:hAnsi="Times New Roman" w:eastAsia="宋体" w:cs="Times New Roman"/>
      <w:sz w:val="18"/>
      <w:szCs w:val="18"/>
      <w:lang w:val="en-US" w:eastAsia="zh-CN" w:bidi="ar-SA"/>
    </w:rPr>
  </w:style>
  <w:style w:type="character" w:customStyle="1" w:styleId="21">
    <w:name w:val="批注框文本 字符"/>
    <w:basedOn w:val="12"/>
    <w:link w:val="6"/>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492</Words>
  <Characters>2808</Characters>
  <Lines>23</Lines>
  <Paragraphs>6</Paragraphs>
  <TotalTime>5</TotalTime>
  <ScaleCrop>false</ScaleCrop>
  <LinksUpToDate>false</LinksUpToDate>
  <CharactersWithSpaces>3294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2024-11-07T14:36:00Z</dcterms:created>
  <dc:creator>高加能</dc:creator>
  <cp:lastModifiedBy>Administrator</cp:lastModifiedBy>
  <cp:lastPrinted>2022-08-06T02:00:00Z</cp:lastPrinted>
  <dcterms:modified xsi:type="dcterms:W3CDTF">2024-11-08T09:36:04Z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069D876181DA451EA3FA5900D6DC2D95_13</vt:lpwstr>
  </property>
</Properties>
</file>