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sz w:val="44"/>
          <w:szCs w:val="44"/>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-65405</wp:posOffset>
                </wp:positionV>
                <wp:extent cx="6163310" cy="711835"/>
                <wp:effectExtent l="0" t="0" r="0" b="0"/>
                <wp:wrapNone/>
                <wp:docPr id="1" name="Quad Arrow 3"/>
                <wp:cNvGraphicFramePr/>
                <a:graphic xmlns:a="http://schemas.openxmlformats.org/drawingml/2006/main">
                  <a:graphicData uri="http://schemas.microsoft.com/office/word/2010/wordprocessingShape">
                    <wps:wsp>
                      <wps:cNvSpPr/>
                      <wps:spPr>
                        <a:xfrm>
                          <a:off x="0" y="0"/>
                          <a:ext cx="6163310" cy="711835"/>
                        </a:xfrm>
                        <a:prstGeom prst="rect">
                          <a:avLst/>
                        </a:prstGeom>
                        <a:noFill/>
                        <a:ln>
                          <a:noFill/>
                        </a:ln>
                      </wps:spPr>
                      <wps:txbx>
                        <w:txbxContent>
                          <w:p>
                            <w:pPr>
                              <w:adjustRightInd w:val="0"/>
                              <w:snapToGrid w:val="0"/>
                              <w:spacing w:line="900" w:lineRule="exact"/>
                              <w:ind w:left="-42" w:leftChars="-20"/>
                              <w:jc w:val="center"/>
                              <w:rPr>
                                <w:rFonts w:ascii="新宋体" w:hAnsi="新宋体" w:eastAsia="新宋体" w:cs="新宋体"/>
                                <w:b/>
                                <w:bCs/>
                                <w:color w:val="FF0000"/>
                                <w:kern w:val="40"/>
                                <w:sz w:val="58"/>
                                <w:szCs w:val="58"/>
                              </w:rPr>
                            </w:pPr>
                            <w:r>
                              <w:rPr>
                                <w:rFonts w:hint="eastAsia" w:ascii="新宋体" w:hAnsi="新宋体" w:eastAsia="新宋体" w:cs="新宋体"/>
                                <w:b/>
                                <w:bCs/>
                                <w:color w:val="FF0000"/>
                                <w:kern w:val="40"/>
                                <w:sz w:val="58"/>
                                <w:szCs w:val="58"/>
                              </w:rPr>
                              <w:t>深圳市福田区文化广电旅游体育局</w:t>
                            </w:r>
                          </w:p>
                          <w:p>
                            <w:pPr>
                              <w:pStyle w:val="6"/>
                              <w:spacing w:beforeLines="150" w:line="640" w:lineRule="exact"/>
                              <w:jc w:val="distribute"/>
                              <w:rPr>
                                <w:rFonts w:ascii="方正大标宋简体" w:eastAsia="方正大标宋简体"/>
                                <w:color w:val="EB0000"/>
                                <w:spacing w:val="-19"/>
                                <w:kern w:val="0"/>
                                <w:sz w:val="52"/>
                                <w:szCs w:val="52"/>
                              </w:rPr>
                            </w:pPr>
                            <w:r>
                              <w:rPr>
                                <w:rFonts w:hint="eastAsia" w:ascii="方正小标宋简体" w:hAnsi="方正小标宋简体" w:eastAsia="方正小标宋简体" w:cs="方正小标宋简体"/>
                                <w:color w:val="EB0000"/>
                                <w:spacing w:val="4"/>
                                <w:kern w:val="0"/>
                                <w:sz w:val="52"/>
                                <w:szCs w:val="52"/>
                              </w:rPr>
                              <w:t xml:space="preserve">jujuzhng </w:t>
                            </w:r>
                            <w:r>
                              <w:rPr>
                                <w:rFonts w:hint="eastAsia" w:ascii="方正小标宋简体" w:hAnsi="方正小标宋简体" w:eastAsia="方正小标宋简体" w:cs="方正小标宋简体"/>
                                <w:color w:val="EB0000"/>
                                <w:spacing w:val="-3"/>
                                <w:kern w:val="0"/>
                                <w:sz w:val="52"/>
                                <w:szCs w:val="52"/>
                              </w:rPr>
                              <w:t>局</w:t>
                            </w:r>
                          </w:p>
                          <w:p>
                            <w:pPr>
                              <w:pStyle w:val="6"/>
                              <w:spacing w:beforeLines="150" w:line="500" w:lineRule="exact"/>
                              <w:rPr>
                                <w:rFonts w:ascii="方正大标宋简体" w:eastAsia="方正大标宋简体"/>
                                <w:color w:val="EB0000"/>
                                <w:spacing w:val="-19"/>
                                <w:kern w:val="0"/>
                                <w:sz w:val="32"/>
                                <w:szCs w:val="32"/>
                              </w:rPr>
                            </w:pPr>
                          </w:p>
                          <w:p>
                            <w:pPr>
                              <w:pStyle w:val="6"/>
                              <w:spacing w:beforeLines="150" w:line="640" w:lineRule="exact"/>
                              <w:rPr>
                                <w:rFonts w:ascii="方正大标宋简体" w:eastAsia="方正大标宋简体"/>
                                <w:color w:val="EB0000"/>
                                <w:kern w:val="0"/>
                                <w:sz w:val="56"/>
                                <w:szCs w:val="56"/>
                              </w:rPr>
                            </w:pPr>
                          </w:p>
                          <w:p>
                            <w:pPr>
                              <w:rPr>
                                <w:color w:val="EB0000"/>
                              </w:rPr>
                            </w:pPr>
                          </w:p>
                        </w:txbxContent>
                      </wps:txbx>
                      <wps:bodyPr upright="1"/>
                    </wps:wsp>
                  </a:graphicData>
                </a:graphic>
              </wp:anchor>
            </w:drawing>
          </mc:Choice>
          <mc:Fallback>
            <w:pict>
              <v:rect id="Quad Arrow 3" o:spid="_x0000_s1026" o:spt="1" style="position:absolute;left:0pt;margin-left:-19.2pt;margin-top:-5.15pt;height:56.05pt;width:485.3pt;z-index:251659264;mso-width-relative:page;mso-height-relative:page;" filled="f" stroked="f" coordsize="21600,21600" o:gfxdata="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">
                <v:fill on="f" focussize="0,0"/>
                <v:stroke on="f"/>
                <v:imagedata o:title=""/>
                <o:lock v:ext="edit" aspectratio="f"/>
                <v:textbox>
                  <w:txbxContent>
                    <w:p>
                      <w:pPr>
                        <w:adjustRightInd w:val="0"/>
                        <w:snapToGrid w:val="0"/>
                        <w:spacing w:line="900" w:lineRule="exact"/>
                        <w:ind w:left="-42" w:leftChars="-20"/>
                        <w:jc w:val="center"/>
                        <w:rPr>
                          <w:rFonts w:ascii="新宋体" w:hAnsi="新宋体" w:eastAsia="新宋体" w:cs="新宋体"/>
                          <w:b/>
                          <w:bCs/>
                          <w:color w:val="FF0000"/>
                          <w:kern w:val="40"/>
                          <w:sz w:val="58"/>
                          <w:szCs w:val="58"/>
                        </w:rPr>
                      </w:pPr>
                      <w:r>
                        <w:rPr>
                          <w:rFonts w:hint="eastAsia" w:ascii="新宋体" w:hAnsi="新宋体" w:eastAsia="新宋体" w:cs="新宋体"/>
                          <w:b/>
                          <w:bCs/>
                          <w:color w:val="FF0000"/>
                          <w:kern w:val="40"/>
                          <w:sz w:val="58"/>
                          <w:szCs w:val="58"/>
                        </w:rPr>
                        <w:t>深圳市福田区文化广电旅游体育局</w:t>
                      </w:r>
                    </w:p>
                    <w:p>
                      <w:pPr>
                        <w:pStyle w:val="6"/>
                        <w:spacing w:beforeLines="150" w:line="640" w:lineRule="exact"/>
                        <w:jc w:val="distribute"/>
                        <w:rPr>
                          <w:rFonts w:ascii="方正大标宋简体" w:eastAsia="方正大标宋简体"/>
                          <w:color w:val="EB0000"/>
                          <w:spacing w:val="-19"/>
                          <w:kern w:val="0"/>
                          <w:sz w:val="52"/>
                          <w:szCs w:val="52"/>
                        </w:rPr>
                      </w:pPr>
                      <w:r>
                        <w:rPr>
                          <w:rFonts w:hint="eastAsia" w:ascii="方正小标宋简体" w:hAnsi="方正小标宋简体" w:eastAsia="方正小标宋简体" w:cs="方正小标宋简体"/>
                          <w:color w:val="EB0000"/>
                          <w:spacing w:val="4"/>
                          <w:kern w:val="0"/>
                          <w:sz w:val="52"/>
                          <w:szCs w:val="52"/>
                        </w:rPr>
                        <w:t xml:space="preserve">jujuzhng </w:t>
                      </w:r>
                      <w:r>
                        <w:rPr>
                          <w:rFonts w:hint="eastAsia" w:ascii="方正小标宋简体" w:hAnsi="方正小标宋简体" w:eastAsia="方正小标宋简体" w:cs="方正小标宋简体"/>
                          <w:color w:val="EB0000"/>
                          <w:spacing w:val="-3"/>
                          <w:kern w:val="0"/>
                          <w:sz w:val="52"/>
                          <w:szCs w:val="52"/>
                        </w:rPr>
                        <w:t>局</w:t>
                      </w:r>
                    </w:p>
                    <w:p>
                      <w:pPr>
                        <w:pStyle w:val="6"/>
                        <w:spacing w:beforeLines="150" w:line="500" w:lineRule="exact"/>
                        <w:rPr>
                          <w:rFonts w:ascii="方正大标宋简体" w:eastAsia="方正大标宋简体"/>
                          <w:color w:val="EB0000"/>
                          <w:spacing w:val="-19"/>
                          <w:kern w:val="0"/>
                          <w:sz w:val="32"/>
                          <w:szCs w:val="32"/>
                        </w:rPr>
                      </w:pPr>
                    </w:p>
                    <w:p>
                      <w:pPr>
                        <w:pStyle w:val="6"/>
                        <w:spacing w:beforeLines="150" w:line="640" w:lineRule="exact"/>
                        <w:rPr>
                          <w:rFonts w:ascii="方正大标宋简体" w:eastAsia="方正大标宋简体"/>
                          <w:color w:val="EB0000"/>
                          <w:kern w:val="0"/>
                          <w:sz w:val="56"/>
                          <w:szCs w:val="56"/>
                        </w:rPr>
                      </w:pPr>
                    </w:p>
                    <w:p>
                      <w:pPr>
                        <w:rPr>
                          <w:color w:val="EB0000"/>
                        </w:rPr>
                      </w:pPr>
                    </w:p>
                  </w:txbxContent>
                </v:textbox>
              </v:rect>
            </w:pict>
          </mc:Fallback>
        </mc:AlternateContent>
      </w:r>
    </w:p>
    <w:p>
      <w:pPr>
        <w:keepNext w:val="0"/>
        <w:keepLines w:val="0"/>
        <w:pageBreakBefore w:val="0"/>
        <w:kinsoku/>
        <w:wordWrap/>
        <w:overflowPunct/>
        <w:topLinePunct w:val="0"/>
        <w:autoSpaceDE/>
        <w:autoSpaceDN/>
        <w:bidi w:val="0"/>
        <w:adjustRightInd/>
        <w:snapToGrid/>
        <w:spacing w:line="520" w:lineRule="exact"/>
        <w:jc w:val="center"/>
        <w:textAlignment w:val="auto"/>
        <w:rPr>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173990</wp:posOffset>
                </wp:positionV>
                <wp:extent cx="5930265" cy="635"/>
                <wp:effectExtent l="0" t="28575" r="13335" b="46990"/>
                <wp:wrapNone/>
                <wp:docPr id="2" name="直接连接符 2"/>
                <wp:cNvGraphicFramePr/>
                <a:graphic xmlns:a="http://schemas.openxmlformats.org/drawingml/2006/main">
                  <a:graphicData uri="http://schemas.microsoft.com/office/word/2010/wordprocessingShape">
                    <wps:wsp>
                      <wps:cNvCnPr/>
                      <wps:spPr>
                        <a:xfrm>
                          <a:off x="0" y="0"/>
                          <a:ext cx="5930265" cy="635"/>
                        </a:xfrm>
                        <a:prstGeom prst="line">
                          <a:avLst/>
                        </a:prstGeom>
                        <a:ln w="57150" cap="flat" cmpd="thickThin">
                          <a:solidFill>
                            <a:srgbClr val="EB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5pt;margin-top:13.7pt;height:0.05pt;width:466.95pt;z-index:251660288;mso-width-relative:page;mso-height-relative:page;" filled="f" stroked="t" coordsize="21600,21600" o:gfxdata="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DLI9//0BAADtAwAA&#10;DgAAAAAAAAABACAAAAA8AQAAZHJzL2Uyb0RvYy54bWxQSwECFAAUAAAACACHTuJAy4HvQtcAAAAJ&#10;AQAADwAAAAAAAAABACAAAAA4AAAAZHJzL2Rvd25yZXYueG1sUEsBAhQACgAAAAAAh07iQAAAAAAA&#10;AAAAAAAAAAQAAAAAAAAAAAAQAAAAFgAAAGRycy9QSwUGAAAAAAYABgBZAQAAqwUAAAAA&#10;">
                <v:fill on="f" focussize="0,0"/>
                <v:stroke weight="4.5pt" color="#EB0000" linestyle="thickThin"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20" w:lineRule="exact"/>
        <w:ind w:right="31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关于福田区第七届人民代表大会第六次会议代表建议《关于加强福田区非物质文化遗产保护的建议》（第20200039号）</w:t>
      </w:r>
    </w:p>
    <w:p>
      <w:pPr>
        <w:keepNext w:val="0"/>
        <w:keepLines w:val="0"/>
        <w:pageBreakBefore w:val="0"/>
        <w:kinsoku/>
        <w:wordWrap/>
        <w:overflowPunct/>
        <w:topLinePunct w:val="0"/>
        <w:autoSpaceDE/>
        <w:autoSpaceDN/>
        <w:bidi w:val="0"/>
        <w:adjustRightInd/>
        <w:snapToGrid/>
        <w:spacing w:line="520" w:lineRule="exact"/>
        <w:ind w:right="31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的回复</w:t>
      </w:r>
    </w:p>
    <w:bookmarkEnd w:id="0"/>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eastAsia="宋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尊敬的曹伟</w:t>
      </w:r>
      <w:r>
        <w:rPr>
          <w:rFonts w:hint="eastAsia" w:ascii="仿宋_GB2312" w:hAnsi="仿宋" w:eastAsia="仿宋_GB2312"/>
          <w:sz w:val="32"/>
          <w:szCs w:val="32"/>
          <w:shd w:val="clear" w:color="auto" w:fill="FFFFFF"/>
          <w:lang w:eastAsia="zh-CN"/>
        </w:rPr>
        <w:t>等</w:t>
      </w:r>
      <w:r>
        <w:rPr>
          <w:rFonts w:hint="eastAsia" w:ascii="仿宋_GB2312" w:hAnsi="仿宋" w:eastAsia="仿宋_GB2312"/>
          <w:sz w:val="32"/>
          <w:szCs w:val="32"/>
          <w:shd w:val="clear" w:color="auto" w:fill="FFFFFF"/>
        </w:rPr>
        <w:t>代表：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您提出的《关于加强福田区非物质文化遗产保护的建议》第20200039号建议收悉，感谢您对深圳市福田区文化遗产保护事业关心与厚爱！经认真研究，现将有关情况回复如下：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2" w:firstLineChars="200"/>
        <w:textAlignment w:val="auto"/>
        <w:rPr>
          <w:rFonts w:ascii="仿宋_GB2312" w:hAnsi="仿宋" w:eastAsia="仿宋_GB2312"/>
          <w:color w:val="222222"/>
          <w:sz w:val="32"/>
          <w:szCs w:val="32"/>
          <w:shd w:val="clear" w:color="auto" w:fill="FFFFFF"/>
        </w:rPr>
      </w:pPr>
      <w:r>
        <w:rPr>
          <w:rFonts w:hint="eastAsia" w:ascii="仿宋_GB2312" w:hAnsi="仿宋" w:eastAsia="仿宋_GB2312"/>
          <w:b/>
          <w:bCs/>
          <w:color w:val="222222"/>
          <w:sz w:val="32"/>
          <w:szCs w:val="32"/>
          <w:shd w:val="clear" w:color="auto" w:fill="FFFFFF"/>
          <w:lang w:eastAsia="zh-CN"/>
        </w:rPr>
        <w:t>一、</w:t>
      </w:r>
      <w:r>
        <w:rPr>
          <w:rFonts w:hint="eastAsia" w:ascii="仿宋_GB2312" w:hAnsi="仿宋" w:eastAsia="仿宋_GB2312"/>
          <w:b/>
          <w:bCs/>
          <w:color w:val="222222"/>
          <w:sz w:val="32"/>
          <w:szCs w:val="32"/>
          <w:shd w:val="clear" w:color="auto" w:fill="FFFFFF"/>
        </w:rPr>
        <w:t>完善政策体系。</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 w:eastAsia="仿宋_GB2312"/>
          <w:color w:val="222222"/>
          <w:sz w:val="32"/>
          <w:szCs w:val="32"/>
          <w:shd w:val="clear" w:color="auto" w:fill="FFFFFF"/>
        </w:rPr>
      </w:pPr>
      <w:r>
        <w:rPr>
          <w:rFonts w:hint="eastAsia" w:ascii="仿宋_GB2312" w:hAnsi="仿宋" w:eastAsia="仿宋_GB2312"/>
          <w:color w:val="222222"/>
          <w:sz w:val="32"/>
          <w:szCs w:val="32"/>
          <w:shd w:val="clear" w:color="auto" w:fill="FFFFFF"/>
          <w:lang w:eastAsia="zh-CN"/>
        </w:rPr>
        <w:t>我区积极贯彻“保护为主、抢救第一、合理利用、传承发展”的方针积极开展非物质文化遗产保护。坚持保护文化遗产的真实性和完整性，坚持依法和科学保护，正确处理经济社会发展与文化遗产保护的关系，统筹规划、分类指导、突出重点、分步实施。根据福田区非物质文化遗产资源的实际情况，加强福田区非物质文化遗产保护政策体系的研究和完善，进一步加大政策支持的力度。</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2" w:firstLineChars="200"/>
        <w:textAlignment w:val="auto"/>
        <w:rPr>
          <w:rFonts w:ascii="仿宋_GB2312" w:hAnsi="仿宋" w:eastAsia="仿宋_GB2312"/>
          <w:color w:val="222222"/>
          <w:sz w:val="32"/>
          <w:szCs w:val="32"/>
          <w:shd w:val="clear" w:color="auto" w:fill="FFFFFF"/>
        </w:rPr>
      </w:pPr>
      <w:r>
        <w:rPr>
          <w:rFonts w:hint="eastAsia" w:ascii="仿宋_GB2312" w:hAnsi="仿宋" w:eastAsia="仿宋_GB2312"/>
          <w:b/>
          <w:bCs/>
          <w:sz w:val="32"/>
          <w:szCs w:val="32"/>
          <w:shd w:val="clear" w:color="auto" w:fill="FFFFFF"/>
          <w:lang w:eastAsia="zh-CN"/>
        </w:rPr>
        <w:t>二、</w:t>
      </w:r>
      <w:r>
        <w:rPr>
          <w:rFonts w:hint="eastAsia" w:ascii="仿宋_GB2312" w:hAnsi="仿宋" w:eastAsia="仿宋_GB2312"/>
          <w:b/>
          <w:bCs/>
          <w:sz w:val="32"/>
          <w:szCs w:val="32"/>
          <w:shd w:val="clear" w:color="auto" w:fill="FFFFFF"/>
        </w:rPr>
        <w:t>积极挖掘、完善非物质文化遗产名录体系。</w:t>
      </w:r>
    </w:p>
    <w:p>
      <w:pPr>
        <w:pStyle w:val="2"/>
        <w:keepNext w:val="0"/>
        <w:keepLines w:val="0"/>
        <w:pageBreakBefore w:val="0"/>
        <w:kinsoku/>
        <w:wordWrap/>
        <w:overflowPunct/>
        <w:topLinePunct w:val="0"/>
        <w:autoSpaceDE/>
        <w:autoSpaceDN/>
        <w:bidi w:val="0"/>
        <w:adjustRightInd/>
        <w:snapToGrid/>
        <w:spacing w:after="0" w:line="520" w:lineRule="exact"/>
        <w:ind w:left="0" w:leftChars="0" w:right="0" w:rightChars="0" w:firstLine="640" w:firstLineChars="200"/>
        <w:textAlignment w:val="auto"/>
        <w:rPr>
          <w:rFonts w:hint="eastAsia" w:ascii="楷体_GB2312" w:hAnsi="仿宋" w:eastAsia="楷体_GB2312" w:cs="宋体"/>
          <w:b/>
          <w:bCs/>
          <w:kern w:val="2"/>
          <w:sz w:val="32"/>
          <w:szCs w:val="32"/>
          <w:lang w:val="en-US" w:eastAsia="zh-CN" w:bidi="ar-SA"/>
        </w:rPr>
      </w:pPr>
      <w:r>
        <w:rPr>
          <w:rFonts w:hint="eastAsia" w:ascii="仿宋_GB2312" w:hAnsi="仿宋" w:eastAsia="仿宋_GB2312" w:cs="仿宋"/>
          <w:sz w:val="32"/>
          <w:szCs w:val="32"/>
          <w:lang w:eastAsia="zh-CN"/>
        </w:rPr>
        <w:t>我区</w:t>
      </w:r>
      <w:r>
        <w:rPr>
          <w:rFonts w:hint="eastAsia" w:ascii="仿宋_GB2312" w:hAnsi="仿宋" w:eastAsia="仿宋_GB2312" w:cs="仿宋"/>
          <w:sz w:val="32"/>
          <w:szCs w:val="32"/>
        </w:rPr>
        <w:t>大力挖掘非遗项目，积极做好整理、申报、评审等工作，扩围提升我区非遗项目名录</w:t>
      </w:r>
      <w:r>
        <w:rPr>
          <w:rFonts w:hint="eastAsia" w:ascii="仿宋_GB2312" w:hAnsi="仿宋" w:eastAsia="仿宋_GB2312" w:cs="仿宋"/>
          <w:sz w:val="32"/>
          <w:szCs w:val="32"/>
          <w:lang w:eastAsia="zh-CN"/>
        </w:rPr>
        <w:t>。今年上半年完成了</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徐氏中医外疗法</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lang w:eastAsia="zh-CN"/>
        </w:rPr>
        <w:t>《杜氏肛肠疗法》、《古琴艺术（虞山琴派）》三个非遗项目及代表性传承人入选福田区第七批区级非遗名录的工作，</w:t>
      </w:r>
      <w:r>
        <w:rPr>
          <w:rFonts w:hint="eastAsia" w:ascii="仿宋_GB2312" w:hAnsi="仿宋_GB2312" w:eastAsia="仿宋_GB2312" w:cs="仿宋_GB2312"/>
          <w:sz w:val="32"/>
          <w:szCs w:val="32"/>
        </w:rPr>
        <w:t>进一步</w:t>
      </w:r>
      <w:r>
        <w:rPr>
          <w:rFonts w:hint="eastAsia" w:ascii="仿宋_GB2312" w:hAnsi="仿宋" w:eastAsia="仿宋_GB2312"/>
          <w:color w:val="222222"/>
          <w:sz w:val="32"/>
          <w:szCs w:val="32"/>
          <w:shd w:val="clear" w:color="auto" w:fill="FFFFFF"/>
        </w:rPr>
        <w:t>完善非物质文化遗产名录体系</w:t>
      </w:r>
      <w:r>
        <w:rPr>
          <w:rFonts w:hint="eastAsia" w:ascii="仿宋_GB2312" w:hAnsi="仿宋" w:eastAsia="仿宋_GB2312" w:cs="仿宋"/>
          <w:sz w:val="32"/>
          <w:szCs w:val="32"/>
          <w:lang w:eastAsia="zh-CN"/>
        </w:rPr>
        <w:t>，填补了我区在非遗项目传统音乐上的空白。同时根据市局文件通知，启动了</w:t>
      </w:r>
      <w:r>
        <w:rPr>
          <w:rFonts w:hint="eastAsia" w:ascii="仿宋_GB2312" w:hAnsi="仿宋" w:eastAsia="仿宋_GB2312" w:cs="仿宋"/>
          <w:sz w:val="32"/>
          <w:szCs w:val="32"/>
          <w:lang w:val="en-US" w:eastAsia="zh-CN"/>
        </w:rPr>
        <w:t>2020年市级非遗项目的推荐工作，进一步提升项目规格。</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2" w:firstLineChars="200"/>
        <w:textAlignment w:val="auto"/>
        <w:rPr>
          <w:rFonts w:ascii="仿宋_GB2312" w:hAnsi="仿宋" w:eastAsia="仿宋_GB2312"/>
          <w:b/>
          <w:bCs/>
          <w:sz w:val="32"/>
          <w:szCs w:val="32"/>
          <w:shd w:val="clear" w:color="auto" w:fill="FFFFFF"/>
        </w:rPr>
      </w:pPr>
      <w:r>
        <w:rPr>
          <w:rFonts w:hint="eastAsia" w:ascii="仿宋_GB2312" w:hAnsi="仿宋" w:eastAsia="仿宋_GB2312"/>
          <w:b/>
          <w:bCs/>
          <w:sz w:val="32"/>
          <w:szCs w:val="32"/>
          <w:shd w:val="clear" w:color="auto" w:fill="FFFFFF"/>
          <w:lang w:eastAsia="zh-CN"/>
        </w:rPr>
        <w:t>三、</w:t>
      </w:r>
      <w:r>
        <w:rPr>
          <w:rFonts w:hint="eastAsia" w:ascii="仿宋_GB2312" w:hAnsi="仿宋" w:eastAsia="仿宋_GB2312"/>
          <w:b/>
          <w:bCs/>
          <w:sz w:val="32"/>
          <w:szCs w:val="32"/>
          <w:shd w:val="clear" w:color="auto" w:fill="FFFFFF"/>
        </w:rPr>
        <w:t>提升非遗交流平台，拓展非遗传播渠道。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ascii="仿宋_GB2312" w:hAnsi="仿宋" w:eastAsia="仿宋_GB2312" w:cs="宋体"/>
          <w:sz w:val="32"/>
          <w:szCs w:val="32"/>
        </w:rPr>
      </w:pPr>
      <w:r>
        <w:rPr>
          <w:rFonts w:hint="eastAsia" w:ascii="楷体_GB2312" w:hAnsi="仿宋" w:eastAsia="楷体_GB2312" w:cs="宋体"/>
          <w:b w:val="0"/>
          <w:bCs w:val="0"/>
          <w:sz w:val="32"/>
          <w:szCs w:val="32"/>
          <w:lang w:eastAsia="zh-CN"/>
        </w:rPr>
        <w:t>（一）</w:t>
      </w:r>
      <w:r>
        <w:rPr>
          <w:rFonts w:hint="eastAsia" w:ascii="仿宋_GB2312" w:hAnsi="仿宋" w:eastAsia="仿宋_GB2312" w:cs="宋体"/>
          <w:sz w:val="32"/>
          <w:szCs w:val="32"/>
        </w:rPr>
        <w:t>坚持文化遗产走进社区、校园，贴近居民生活的指导思想，结合福田非遗工作实际，</w:t>
      </w:r>
      <w:r>
        <w:rPr>
          <w:rFonts w:hint="eastAsia" w:ascii="仿宋_GB2312" w:hAnsi="仿宋" w:eastAsia="仿宋_GB2312" w:cs="仿宋"/>
          <w:sz w:val="32"/>
          <w:szCs w:val="32"/>
        </w:rPr>
        <w:t>组织非遗传承人走进辖区10个街道20个社区，举办讲座诊疗等活动，为市民排忧解难，</w:t>
      </w:r>
      <w:r>
        <w:rPr>
          <w:rFonts w:hint="eastAsia" w:ascii="仿宋_GB2312" w:hAnsi="仿宋" w:eastAsia="仿宋_GB2312" w:cs="宋体"/>
          <w:sz w:val="32"/>
          <w:szCs w:val="32"/>
        </w:rPr>
        <w:t>受众逾</w:t>
      </w:r>
      <w:r>
        <w:rPr>
          <w:rFonts w:hint="eastAsia" w:ascii="仿宋_GB2312" w:hAnsi="仿宋" w:eastAsia="仿宋_GB2312" w:cs="宋体"/>
          <w:sz w:val="32"/>
          <w:szCs w:val="32"/>
          <w:lang w:val="en-US" w:eastAsia="zh-CN"/>
        </w:rPr>
        <w:t>2.5万</w:t>
      </w:r>
      <w:r>
        <w:rPr>
          <w:rFonts w:hint="eastAsia" w:ascii="仿宋_GB2312" w:hAnsi="仿宋" w:eastAsia="仿宋_GB2312" w:cs="宋体"/>
          <w:sz w:val="32"/>
          <w:szCs w:val="32"/>
        </w:rPr>
        <w:t>人次</w:t>
      </w:r>
      <w:r>
        <w:rPr>
          <w:rFonts w:hint="eastAsia" w:ascii="仿宋_GB2312" w:hAnsi="仿宋" w:eastAsia="仿宋_GB2312" w:cs="宋体"/>
          <w:sz w:val="32"/>
          <w:szCs w:val="32"/>
          <w:lang w:eastAsia="zh-CN"/>
        </w:rPr>
        <w:t>。</w:t>
      </w:r>
      <w:r>
        <w:rPr>
          <w:rFonts w:ascii="仿宋_GB2312" w:hAnsi="仿宋" w:eastAsia="仿宋_GB2312" w:cs="仿宋"/>
          <w:sz w:val="32"/>
          <w:szCs w:val="32"/>
        </w:rPr>
        <w:t>通过生动活泼的方式，向广大</w:t>
      </w:r>
      <w:r>
        <w:rPr>
          <w:rFonts w:hint="eastAsia" w:ascii="仿宋_GB2312" w:hAnsi="仿宋" w:eastAsia="仿宋_GB2312" w:cs="仿宋"/>
          <w:sz w:val="32"/>
          <w:szCs w:val="32"/>
        </w:rPr>
        <w:t>市民、青少年朋友</w:t>
      </w:r>
      <w:r>
        <w:rPr>
          <w:rFonts w:ascii="仿宋_GB2312" w:hAnsi="仿宋" w:eastAsia="仿宋_GB2312" w:cs="仿宋"/>
          <w:sz w:val="32"/>
          <w:szCs w:val="32"/>
        </w:rPr>
        <w:t>展示非物质文化遗产的魅力，引导他们了解、学习、运用、继承非物质文化遗产的精髓，从而在福田形成全社会重视、传承非物质文化遗产的良好局面</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 w:eastAsia="仿宋_GB2312"/>
          <w:sz w:val="32"/>
          <w:szCs w:val="32"/>
        </w:rPr>
      </w:pPr>
      <w:r>
        <w:rPr>
          <w:rFonts w:hint="eastAsia" w:ascii="楷体_GB2312" w:hAnsi="仿宋" w:eastAsia="楷体_GB2312" w:cs="宋体"/>
          <w:b w:val="0"/>
          <w:bCs w:val="0"/>
          <w:sz w:val="32"/>
          <w:szCs w:val="32"/>
          <w:lang w:eastAsia="zh-CN"/>
        </w:rPr>
        <w:t>（二）</w:t>
      </w:r>
      <w:r>
        <w:rPr>
          <w:rFonts w:hint="eastAsia" w:ascii="仿宋_GB2312" w:hAnsi="仿宋" w:eastAsia="仿宋_GB2312" w:cs="宋体"/>
          <w:b w:val="0"/>
          <w:bCs w:val="0"/>
          <w:sz w:val="32"/>
          <w:szCs w:val="32"/>
        </w:rPr>
        <w:t>做好非遗传承</w:t>
      </w:r>
      <w:r>
        <w:rPr>
          <w:rFonts w:hint="eastAsia" w:ascii="仿宋_GB2312" w:hAnsi="仿宋" w:eastAsia="仿宋_GB2312" w:cs="宋体"/>
          <w:b w:val="0"/>
          <w:bCs w:val="0"/>
          <w:sz w:val="32"/>
          <w:szCs w:val="32"/>
          <w:lang w:eastAsia="zh-CN"/>
        </w:rPr>
        <w:t>品牌成果展示</w:t>
      </w:r>
      <w:r>
        <w:rPr>
          <w:rFonts w:hint="eastAsia" w:ascii="仿宋_GB2312" w:hAnsi="仿宋" w:eastAsia="仿宋_GB2312" w:cs="宋体"/>
          <w:b w:val="0"/>
          <w:bCs w:val="0"/>
          <w:sz w:val="32"/>
          <w:szCs w:val="32"/>
        </w:rPr>
        <w:t>。" 福田 • 传承 " 是福田区文化广电旅游体育局精心打造的文化品牌，通过对辖区文化遗产资源的整合利用，依托 " 学在福田 "" 艺在福田 "" 字在福田 "" 炫在福田 " 和 " 技在福田 " 五大板块系列活动的开展，向广大市民和青少年展示非物质文化遗产的魅力，引导他们了解、学习、运用、继承非物质文化遗产的精髓，培养其重视、传承非物质文化遗产意识和能力。经过 5 年多的发展，" 福田 • 传承 " 文化品牌得到社会的广泛认可，真正让优秀传统文化在市民尤其是中小学生心目中生根发芽。</w:t>
      </w:r>
      <w:r>
        <w:rPr>
          <w:rFonts w:hint="eastAsia" w:ascii="仿宋_GB2312" w:hAnsi="仿宋" w:eastAsia="仿宋_GB2312" w:cs="仿宋"/>
          <w:sz w:val="32"/>
          <w:szCs w:val="32"/>
        </w:rPr>
        <w:t>非遗传承</w:t>
      </w:r>
      <w:r>
        <w:rPr>
          <w:rFonts w:hint="eastAsia" w:ascii="仿宋_GB2312" w:hAnsi="仿宋" w:eastAsia="仿宋_GB2312" w:cs="仿宋"/>
          <w:sz w:val="32"/>
          <w:szCs w:val="32"/>
          <w:lang w:eastAsia="zh-CN"/>
        </w:rPr>
        <w:t>汇演活动被中央广播电视总台、香港大公报等</w:t>
      </w:r>
      <w:r>
        <w:rPr>
          <w:rFonts w:hint="eastAsia" w:ascii="仿宋_GB2312" w:hAnsi="仿宋" w:eastAsia="仿宋_GB2312" w:cs="仿宋"/>
          <w:sz w:val="32"/>
          <w:szCs w:val="32"/>
          <w:lang w:val="en-US" w:eastAsia="zh-CN"/>
        </w:rPr>
        <w:t>17家媒体广泛宣传报道，非遗传承品牌活动深入人心。</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 w:eastAsia="仿宋_GB2312" w:cs="宋体"/>
          <w:sz w:val="32"/>
          <w:szCs w:val="32"/>
          <w:shd w:val="clear" w:color="auto" w:fill="FFFFFF"/>
        </w:rPr>
      </w:pPr>
      <w:r>
        <w:rPr>
          <w:rFonts w:hint="eastAsia" w:ascii="仿宋_GB2312" w:hAnsi="仿宋" w:eastAsia="仿宋_GB2312" w:cs="宋体"/>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3200" w:firstLineChars="1000"/>
        <w:textAlignment w:val="auto"/>
        <w:rPr>
          <w:rFonts w:ascii="仿宋_GB2312" w:hAnsi="仿宋" w:eastAsia="仿宋_GB2312" w:cs="宋体"/>
          <w:sz w:val="32"/>
          <w:szCs w:val="32"/>
          <w:shd w:val="clear" w:color="auto" w:fill="FFFFFF"/>
        </w:rPr>
      </w:pPr>
      <w:r>
        <w:rPr>
          <w:rFonts w:hint="eastAsia" w:ascii="仿宋_GB2312" w:hAnsi="仿宋" w:eastAsia="仿宋_GB2312" w:cs="宋体"/>
          <w:sz w:val="32"/>
          <w:szCs w:val="32"/>
          <w:shd w:val="clear" w:color="auto" w:fill="FFFFFF"/>
        </w:rPr>
        <w:t>深圳市福田区文化广电旅游体育局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 w:eastAsia="仿宋_GB2312" w:cs="宋体"/>
          <w:sz w:val="32"/>
          <w:szCs w:val="32"/>
          <w:shd w:val="clear" w:color="auto" w:fill="FFFFFF"/>
        </w:rPr>
      </w:pPr>
      <w:r>
        <w:rPr>
          <w:rFonts w:hint="eastAsia" w:ascii="仿宋_GB2312" w:hAnsi="仿宋" w:eastAsia="仿宋_GB2312" w:cs="宋体"/>
          <w:sz w:val="32"/>
          <w:szCs w:val="32"/>
          <w:shd w:val="clear" w:color="auto" w:fill="FFFFFF"/>
        </w:rPr>
        <w:t xml:space="preserve">                       2020年6月</w:t>
      </w:r>
      <w:r>
        <w:rPr>
          <w:rFonts w:hint="eastAsia" w:ascii="仿宋_GB2312" w:hAnsi="仿宋" w:eastAsia="仿宋_GB2312" w:cs="宋体"/>
          <w:sz w:val="32"/>
          <w:szCs w:val="32"/>
          <w:shd w:val="clear" w:color="auto" w:fill="FFFFFF"/>
          <w:lang w:val="en-US" w:eastAsia="zh-CN"/>
        </w:rPr>
        <w:t>2</w:t>
      </w:r>
      <w:r>
        <w:rPr>
          <w:rFonts w:hint="eastAsia" w:ascii="仿宋_GB2312" w:hAnsi="仿宋" w:eastAsia="仿宋_GB2312" w:cs="宋体"/>
          <w:sz w:val="32"/>
          <w:szCs w:val="32"/>
          <w:shd w:val="clear" w:color="auto" w:fill="FFFFFF"/>
        </w:rPr>
        <w:t>9日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ascii="仿宋" w:hAnsi="仿宋" w:eastAsia="仿宋" w:cs="华文仿宋"/>
          <w:sz w:val="32"/>
          <w:szCs w:val="32"/>
        </w:rPr>
      </w:pPr>
      <w:r>
        <w:rPr>
          <w:rFonts w:hint="eastAsia" w:ascii="仿宋_GB2312" w:hAnsi="仿宋" w:eastAsia="仿宋_GB2312" w:cs="宋体"/>
          <w:sz w:val="32"/>
          <w:szCs w:val="32"/>
          <w:shd w:val="clear" w:color="auto" w:fill="FFFFFF"/>
        </w:rPr>
        <w:t>（联系人：肖坤刚，联系电话：82918193  13510393089）</w:t>
      </w:r>
    </w:p>
    <w:sectPr>
      <w:footerReference r:id="rId3" w:type="default"/>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ook Antiqua">
    <w:panose1 w:val="02040602050305030304"/>
    <w:charset w:val="00"/>
    <w:family w:val="auto"/>
    <w:pitch w:val="default"/>
    <w:sig w:usb0="00000287" w:usb1="00000000" w:usb2="00000000" w:usb3="00000000" w:csb0="2000009F" w:csb1="DFD70000"/>
  </w:font>
  <w:font w:name="Noto Sans Symbols2">
    <w:panose1 w:val="020B0502040504020204"/>
    <w:charset w:val="00"/>
    <w:family w:val="auto"/>
    <w:pitch w:val="default"/>
    <w:sig w:usb0="80000003" w:usb1="0200E3E4" w:usb2="00040020" w:usb3="0580A048"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240149"/>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14"/>
    <w:rsid w:val="00033A1B"/>
    <w:rsid w:val="00074960"/>
    <w:rsid w:val="00076C2E"/>
    <w:rsid w:val="00080AA0"/>
    <w:rsid w:val="00083514"/>
    <w:rsid w:val="000918D5"/>
    <w:rsid w:val="000A0C2F"/>
    <w:rsid w:val="000A4B61"/>
    <w:rsid w:val="000A4DD1"/>
    <w:rsid w:val="000D5A02"/>
    <w:rsid w:val="000F3255"/>
    <w:rsid w:val="000F51C5"/>
    <w:rsid w:val="000F5B94"/>
    <w:rsid w:val="000F747B"/>
    <w:rsid w:val="001268FC"/>
    <w:rsid w:val="00135699"/>
    <w:rsid w:val="001554FB"/>
    <w:rsid w:val="00156F1E"/>
    <w:rsid w:val="00166985"/>
    <w:rsid w:val="00196A37"/>
    <w:rsid w:val="001D2633"/>
    <w:rsid w:val="001E0A78"/>
    <w:rsid w:val="001E6CBD"/>
    <w:rsid w:val="002168E6"/>
    <w:rsid w:val="0023044A"/>
    <w:rsid w:val="002572FF"/>
    <w:rsid w:val="002B37DF"/>
    <w:rsid w:val="002C1392"/>
    <w:rsid w:val="002E3335"/>
    <w:rsid w:val="003046CC"/>
    <w:rsid w:val="00306069"/>
    <w:rsid w:val="00311407"/>
    <w:rsid w:val="003223A4"/>
    <w:rsid w:val="00325C07"/>
    <w:rsid w:val="003844F4"/>
    <w:rsid w:val="003A3CA8"/>
    <w:rsid w:val="003B39C2"/>
    <w:rsid w:val="003B7625"/>
    <w:rsid w:val="003D6645"/>
    <w:rsid w:val="00433B79"/>
    <w:rsid w:val="00452B86"/>
    <w:rsid w:val="00476702"/>
    <w:rsid w:val="00492DF7"/>
    <w:rsid w:val="00505FA2"/>
    <w:rsid w:val="00507AD8"/>
    <w:rsid w:val="005756F9"/>
    <w:rsid w:val="005800B4"/>
    <w:rsid w:val="005A74C0"/>
    <w:rsid w:val="005C58F9"/>
    <w:rsid w:val="005D496E"/>
    <w:rsid w:val="006246E7"/>
    <w:rsid w:val="00644B5A"/>
    <w:rsid w:val="006638CA"/>
    <w:rsid w:val="006776D8"/>
    <w:rsid w:val="006803BB"/>
    <w:rsid w:val="006826F8"/>
    <w:rsid w:val="00686370"/>
    <w:rsid w:val="00687631"/>
    <w:rsid w:val="006A05C5"/>
    <w:rsid w:val="006A1792"/>
    <w:rsid w:val="006C5D20"/>
    <w:rsid w:val="006E7599"/>
    <w:rsid w:val="00720FA5"/>
    <w:rsid w:val="00736A4D"/>
    <w:rsid w:val="00737C57"/>
    <w:rsid w:val="0077383C"/>
    <w:rsid w:val="00776C2C"/>
    <w:rsid w:val="0078367B"/>
    <w:rsid w:val="007C09BA"/>
    <w:rsid w:val="007D22F1"/>
    <w:rsid w:val="007D40C8"/>
    <w:rsid w:val="007F3B24"/>
    <w:rsid w:val="00804050"/>
    <w:rsid w:val="00826E27"/>
    <w:rsid w:val="00836CA8"/>
    <w:rsid w:val="00855C5F"/>
    <w:rsid w:val="008633BB"/>
    <w:rsid w:val="008718AA"/>
    <w:rsid w:val="008A66B5"/>
    <w:rsid w:val="008C69BB"/>
    <w:rsid w:val="008E0718"/>
    <w:rsid w:val="008E4479"/>
    <w:rsid w:val="00917515"/>
    <w:rsid w:val="00923490"/>
    <w:rsid w:val="00927C85"/>
    <w:rsid w:val="0094565C"/>
    <w:rsid w:val="00947E00"/>
    <w:rsid w:val="00953ECD"/>
    <w:rsid w:val="0097410D"/>
    <w:rsid w:val="009B6874"/>
    <w:rsid w:val="009E0D15"/>
    <w:rsid w:val="009E3861"/>
    <w:rsid w:val="00A03663"/>
    <w:rsid w:val="00A05FBB"/>
    <w:rsid w:val="00A31096"/>
    <w:rsid w:val="00A43D9A"/>
    <w:rsid w:val="00A5213D"/>
    <w:rsid w:val="00A727C7"/>
    <w:rsid w:val="00A757A0"/>
    <w:rsid w:val="00A76521"/>
    <w:rsid w:val="00A777F6"/>
    <w:rsid w:val="00A95B94"/>
    <w:rsid w:val="00A97438"/>
    <w:rsid w:val="00AC469E"/>
    <w:rsid w:val="00AE6B3F"/>
    <w:rsid w:val="00B07B05"/>
    <w:rsid w:val="00B16DE5"/>
    <w:rsid w:val="00B377B0"/>
    <w:rsid w:val="00B406C8"/>
    <w:rsid w:val="00BB745E"/>
    <w:rsid w:val="00BE291E"/>
    <w:rsid w:val="00BF7687"/>
    <w:rsid w:val="00C2295C"/>
    <w:rsid w:val="00C6438B"/>
    <w:rsid w:val="00C972C8"/>
    <w:rsid w:val="00CE776C"/>
    <w:rsid w:val="00D03FD4"/>
    <w:rsid w:val="00D415A6"/>
    <w:rsid w:val="00D433C8"/>
    <w:rsid w:val="00D6672C"/>
    <w:rsid w:val="00D70061"/>
    <w:rsid w:val="00D71588"/>
    <w:rsid w:val="00D75BE6"/>
    <w:rsid w:val="00D82C84"/>
    <w:rsid w:val="00D90BD1"/>
    <w:rsid w:val="00DD5837"/>
    <w:rsid w:val="00DF6D9D"/>
    <w:rsid w:val="00E26B55"/>
    <w:rsid w:val="00E27379"/>
    <w:rsid w:val="00E30E96"/>
    <w:rsid w:val="00E34E1F"/>
    <w:rsid w:val="00E40208"/>
    <w:rsid w:val="00E54AD9"/>
    <w:rsid w:val="00E60BCC"/>
    <w:rsid w:val="00EA06D2"/>
    <w:rsid w:val="00EA0E50"/>
    <w:rsid w:val="00EF3B69"/>
    <w:rsid w:val="00F16638"/>
    <w:rsid w:val="00F209FC"/>
    <w:rsid w:val="00F37619"/>
    <w:rsid w:val="00F95939"/>
    <w:rsid w:val="00FC6FC8"/>
    <w:rsid w:val="00FE7848"/>
    <w:rsid w:val="00FF052E"/>
    <w:rsid w:val="00FF3437"/>
    <w:rsid w:val="017E2126"/>
    <w:rsid w:val="029970D4"/>
    <w:rsid w:val="0A072AED"/>
    <w:rsid w:val="0A2F762D"/>
    <w:rsid w:val="0CB54283"/>
    <w:rsid w:val="0EB22B6E"/>
    <w:rsid w:val="0EBF1145"/>
    <w:rsid w:val="156E38DC"/>
    <w:rsid w:val="15FE4D67"/>
    <w:rsid w:val="164A067C"/>
    <w:rsid w:val="171B11B7"/>
    <w:rsid w:val="1D9F821A"/>
    <w:rsid w:val="2AB93EA4"/>
    <w:rsid w:val="2EC65835"/>
    <w:rsid w:val="30556EA5"/>
    <w:rsid w:val="31A2425B"/>
    <w:rsid w:val="325B7290"/>
    <w:rsid w:val="3508784F"/>
    <w:rsid w:val="35214868"/>
    <w:rsid w:val="37405C37"/>
    <w:rsid w:val="37476B4A"/>
    <w:rsid w:val="42E82BE5"/>
    <w:rsid w:val="4651609A"/>
    <w:rsid w:val="4B3C6240"/>
    <w:rsid w:val="4C345826"/>
    <w:rsid w:val="4E244B98"/>
    <w:rsid w:val="4EAB1341"/>
    <w:rsid w:val="524F1C7D"/>
    <w:rsid w:val="52CC01E9"/>
    <w:rsid w:val="557F1B4A"/>
    <w:rsid w:val="56A979FD"/>
    <w:rsid w:val="5AC32CA3"/>
    <w:rsid w:val="5BBF3C23"/>
    <w:rsid w:val="61AE2AF8"/>
    <w:rsid w:val="663940AA"/>
    <w:rsid w:val="66DF74B0"/>
    <w:rsid w:val="67417783"/>
    <w:rsid w:val="691B2400"/>
    <w:rsid w:val="6A306F06"/>
    <w:rsid w:val="6B0C49C9"/>
    <w:rsid w:val="6DF206A8"/>
    <w:rsid w:val="70E83186"/>
    <w:rsid w:val="73D131A7"/>
    <w:rsid w:val="777E621C"/>
    <w:rsid w:val="77A13C1C"/>
    <w:rsid w:val="7A403BFB"/>
    <w:rsid w:val="7CA741AE"/>
    <w:rsid w:val="FBFB1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alloon Text"/>
    <w:basedOn w:val="1"/>
    <w:link w:val="16"/>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标题 1 Char"/>
    <w:basedOn w:val="9"/>
    <w:link w:val="3"/>
    <w:qFormat/>
    <w:uiPriority w:val="9"/>
    <w:rPr>
      <w:rFonts w:ascii="宋体" w:hAnsi="宋体" w:eastAsia="宋体" w:cs="宋体"/>
      <w:b/>
      <w:bCs/>
      <w:kern w:val="36"/>
      <w:sz w:val="48"/>
      <w:szCs w:val="48"/>
    </w:rPr>
  </w:style>
  <w:style w:type="paragraph" w:customStyle="1" w:styleId="14">
    <w:name w:val="_Style 1"/>
    <w:basedOn w:val="1"/>
    <w:qFormat/>
    <w:uiPriority w:val="34"/>
    <w:pPr>
      <w:ind w:firstLine="420" w:firstLineChars="200"/>
    </w:pPr>
  </w:style>
  <w:style w:type="paragraph" w:customStyle="1" w:styleId="15">
    <w:name w:val="List Paragraph"/>
    <w:basedOn w:val="1"/>
    <w:unhideWhenUsed/>
    <w:qFormat/>
    <w:uiPriority w:val="99"/>
    <w:pPr>
      <w:ind w:firstLine="420" w:firstLineChars="200"/>
    </w:pPr>
  </w:style>
  <w:style w:type="character" w:customStyle="1" w:styleId="16">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2</Pages>
  <Words>90</Words>
  <Characters>514</Characters>
  <Lines>4</Lines>
  <Paragraphs>1</Paragraphs>
  <TotalTime>1</TotalTime>
  <ScaleCrop>false</ScaleCrop>
  <LinksUpToDate>false</LinksUpToDate>
  <CharactersWithSpaces>603</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2019-12-20T17:54:00Z</dcterms:created>
  <dc:creator>WRGHO</dc:creator>
  <cp:lastModifiedBy>zengxin1</cp:lastModifiedBy>
  <cp:lastPrinted>2020-07-07T00:50:00Z</cp:lastPrinted>
  <dcterms:modified xsi:type="dcterms:W3CDTF">2024-11-27T11:12:31Z</dcterms:modified>
  <dc:title>关于优化我区智慧道路停车系统 提升客户服务质量的建议</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049ADE58AA3869B77F8A466776250CBF</vt:lpwstr>
  </property>
</Properties>
</file>