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Microsoft YaHei" w:hAnsi="Microsoft YaHei" w:eastAsia="Microsoft YaHei" w:cs="Microsoft YaHei"/>
          <w:b/>
          <w:bCs/>
          <w:i w:val="0"/>
          <w:iCs w:val="0"/>
          <w:caps w:val="0"/>
          <w:color w:val="333333"/>
          <w:spacing w:val="0"/>
          <w:sz w:val="36"/>
          <w:szCs w:val="36"/>
        </w:rPr>
      </w:pPr>
      <w:r>
        <w:rPr>
          <w:rFonts w:hint="eastAsia" w:ascii="Microsoft YaHei" w:hAnsi="Microsoft YaHei" w:eastAsia="Microsoft YaHei" w:cs="Microsoft YaHei"/>
          <w:b/>
          <w:bCs/>
          <w:i w:val="0"/>
          <w:iCs w:val="0"/>
          <w:caps w:val="0"/>
          <w:color w:val="333333"/>
          <w:spacing w:val="0"/>
          <w:sz w:val="36"/>
          <w:szCs w:val="36"/>
          <w:bdr w:val="none" w:color="auto" w:sz="0" w:space="0"/>
          <w:shd w:val="clear" w:fill="FFFFFF"/>
        </w:rPr>
        <w:t>加大法律责任追究力度 为防范遏制会计违法行为提供有力法治保障 </w:t>
      </w:r>
      <w:r>
        <w:rPr>
          <w:rFonts w:hint="eastAsia" w:ascii="Microsoft YaHei" w:hAnsi="Microsoft YaHei" w:eastAsia="Microsoft YaHei" w:cs="Microsoft YaHei"/>
          <w:b/>
          <w:bCs/>
          <w:i w:val="0"/>
          <w:iCs w:val="0"/>
          <w:caps w:val="0"/>
          <w:color w:val="333333"/>
          <w:spacing w:val="0"/>
          <w:sz w:val="36"/>
          <w:szCs w:val="36"/>
          <w:bdr w:val="none" w:color="auto" w:sz="0" w:space="0"/>
          <w:shd w:val="clear" w:fill="FFFFFF"/>
        </w:rPr>
        <w:br w:type="textWrapping"/>
      </w:r>
      <w:r>
        <w:rPr>
          <w:rFonts w:ascii="楷体" w:hAnsi="楷体" w:eastAsia="楷体" w:cs="楷体"/>
          <w:b/>
          <w:bCs/>
          <w:i w:val="0"/>
          <w:iCs w:val="0"/>
          <w:caps w:val="0"/>
          <w:color w:val="333333"/>
          <w:spacing w:val="0"/>
          <w:sz w:val="27"/>
          <w:szCs w:val="27"/>
          <w:bdr w:val="none" w:color="auto" w:sz="0" w:space="0"/>
          <w:shd w:val="clear" w:fill="FFFFFF"/>
        </w:rPr>
        <w:t>——新会计法系列解读之六</w:t>
      </w:r>
      <w:r>
        <w:rPr>
          <w:rFonts w:hint="eastAsia" w:ascii="Microsoft YaHei" w:hAnsi="Microsoft YaHei" w:eastAsia="Microsoft YaHei" w:cs="Microsoft YaHei"/>
          <w:b/>
          <w:bCs/>
          <w:i w:val="0"/>
          <w:iCs w:val="0"/>
          <w:caps w:val="0"/>
          <w:color w:val="333333"/>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来源：</w:t>
      </w:r>
      <w:r>
        <w:rPr>
          <w:rFonts w:hint="eastAsia" w:ascii="宋体" w:hAnsi="宋体" w:eastAsia="宋体" w:cs="宋体"/>
          <w:i w:val="0"/>
          <w:iCs w:val="0"/>
          <w:caps w:val="0"/>
          <w:color w:val="333333"/>
          <w:spacing w:val="0"/>
          <w:sz w:val="24"/>
          <w:szCs w:val="24"/>
          <w:bdr w:val="none" w:color="auto" w:sz="0" w:space="0"/>
          <w:shd w:val="clear" w:fill="FFFFFF"/>
          <w:lang w:eastAsia="zh-CN"/>
        </w:rPr>
        <w:t>财政部</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监督评价局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届全国人民代表大会常务委员会第十次会议表决通过《关于修改〈中华人民共和国会计法〉的决定》，自2024年7月1日起施行。新会计法与注册会计师法、证券法等有关法律的处罚标准相衔接，加大了对财务造假等会计违法行为的法律责任追究力度，为防范遏制财务造假等会计违法行为提供了有力法治保障，对于进一步提高会计信息质量、维护社会主义市场经济秩序具有重要意义和深远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一、加大法律责任追究力度的重要意义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经济越发展，会计越重要。高质量的会计信息是社会主义市场经济健康发展的基石，能够有效增强市场信用、稳定市场预期、提升市场信心。但是，近年来恶性财务造假等会计违法行为频发，严重损害公共利益，扰乱市场经济秩序。究其原因，财务造假的违法成本过低是重要影响因素之一。为此，新会计法大幅提高处罚标准，加大财务造假等会计违法行为法律责任追究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（一）加大法律责任追究力度是贯彻落实党中央、国务院关于加强财会监督工作决策部署的必然要求。</w:t>
      </w:r>
      <w:r>
        <w:rPr>
          <w:rFonts w:hint="eastAsia" w:ascii="宋体" w:hAnsi="宋体" w:eastAsia="宋体" w:cs="宋体"/>
          <w:i w:val="0"/>
          <w:iCs w:val="0"/>
          <w:caps w:val="0"/>
          <w:color w:val="333333"/>
          <w:spacing w:val="0"/>
          <w:sz w:val="24"/>
          <w:szCs w:val="24"/>
          <w:bdr w:val="none" w:color="auto" w:sz="0" w:space="0"/>
          <w:shd w:val="clear" w:fill="FFFFFF"/>
        </w:rPr>
        <w:t>习近平总书记曾多次对财会监督工作作出重要论述，强调“审计监督、财会监督、统计监督都是党和国家监督体系的重要组成部分”，“要形成巡视监督、审计监督、财会监督合力，健全相关法律法规”，“要严肃财经纪律，维护财经秩序，健全财会监督机制”等，对做好新时代财会监督工作提出了更高要求，提供了根本遵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2023年2月，中共中央办公厅、国务院办公厅印发了《关于进一步加强财会监督工作的意见》（以下简称《意见》），这是以习近平同志为核心的党中央对新时代财会监督工作的系统谋划和重大决策，是健全完善财会监督体制机制的重大顶层设计，是做好新时代财会监督工作的纲领性文件和行动指南。《意见》明确提出要严厉打击财务会计违法违规行为，坚持“强穿透、堵漏洞、用重典、正风气”，加强对会计信息质量的监督，依法严厉打击伪造会计账簿、虚构经济业务、滥用会计准则等会计违法违规行为，从严从重查处影响恶劣的财务舞弊、会计造假案件，强化对相关责任人的追责问责，持续提升会计信息质量。为贯彻落实党中央、国务院关于加强财会监督的决策部署，严厉打击财务造假等会计违法行为，在新会计法中加大对财务造假等会计违法行为的法律责任追究力度恰当其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（二）加大法律责任追究力度是有效防范遏制财务造假、维护社会主义市场经济秩序的现实需要。</w:t>
      </w:r>
      <w:r>
        <w:rPr>
          <w:rFonts w:hint="eastAsia" w:ascii="宋体" w:hAnsi="宋体" w:eastAsia="宋体" w:cs="宋体"/>
          <w:i w:val="0"/>
          <w:iCs w:val="0"/>
          <w:caps w:val="0"/>
          <w:color w:val="333333"/>
          <w:spacing w:val="0"/>
          <w:sz w:val="24"/>
          <w:szCs w:val="24"/>
          <w:bdr w:val="none" w:color="auto" w:sz="0" w:space="0"/>
          <w:shd w:val="clear" w:fill="FFFFFF"/>
        </w:rPr>
        <w:t>会计信息是经济信用体系的基础，只有促使微观市场主体“财务账本”信息真实准确，才能确保国家宏观信息可靠、信用体系稳固。会计记录反映经济活动，一旦发生会计信息失真甚至财务造假，常常伴随偷漏税、违规贷款、国有资产流失、资本市场虚假信息披露等诸多连锁问题，甚至引发类似安然事件的系统性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近年来，康得新、康美药业、瑞幸咖啡、华融、恒大地产等境内外上市公司财务造假，严重扰乱社会主义市场经济秩序，给投资者造成重大损失，引起社会广泛关注。但是原会计法对财务造假当事人处罚标准明显偏低，违法成本与造假获利显著不匹配，如对财务造假企业的处罚上限仅为10万元，难以形成有效震慑。为严厉打击财务造假等会计违法行为，维护社会主义市场经济秩序，在新会计法中加大对财务造假等会计违法行为的法律责任追究力度势在必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（三）加大法律责任追究力度是加强会计法与其他法律处罚标准相衔接、维护公平正义的具体举措。</w:t>
      </w:r>
      <w:r>
        <w:rPr>
          <w:rFonts w:hint="eastAsia" w:ascii="宋体" w:hAnsi="宋体" w:eastAsia="宋体" w:cs="宋体"/>
          <w:i w:val="0"/>
          <w:iCs w:val="0"/>
          <w:caps w:val="0"/>
          <w:color w:val="333333"/>
          <w:spacing w:val="0"/>
          <w:sz w:val="24"/>
          <w:szCs w:val="24"/>
          <w:bdr w:val="none" w:color="auto" w:sz="0" w:space="0"/>
          <w:shd w:val="clear" w:fill="FFFFFF"/>
        </w:rPr>
        <w:t>加强法律之间处罚标准相衔接，有助于提高法律体系的协调性和一致性，形成统一高效的执法环境。会计法、注册会计师法、证券法等共同构建起了防范遏制会计违法行为、提高会计信息质量的法律体系。原会计法对单位财务造假的处罚标准是五千元以上十万元以下的罚款；注册会计师法对中介机构审计造假的处罚标准是没收违法所得，并处违法所得一倍以上五倍以下的罚款；证券法对上市公司信息披露造假的处罚标准是一百万元以上一千万元以下的罚款。当因财务造假同时追究会计责任、审计责任、信息披露责任时，原会计法相对较低的处罚标准容易导致财务造假罚款金额显著低于审计造假和信息披露造假罚款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参照其他相关法律的处罚标准和处罚力度，加大会计违法行为法律责任追究力度，能够有效解决相关法律对财务造假和审计造假、信息披露造假罚款金额相差较大的问题，提高相关法律的协调性和一致性，为防范遏制财务造假等会计违法行为提供更加有力的法治保障。为加强会计法与其他法律处罚标准的平衡和衔接，维护社会的公平正义，在新会计法中加大对财务造假等会计违法行为的法律责任追究力度十分必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二、加大法律责任追究力度的具体体现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新会计法遵循“过罚相当”原则，根据违法行为情节轻重设置罚款金额的幅度区间，大幅提高处罚力度。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（一）提高不依法设置会计账簿、随意变更会计处理方法等一般会计违法行为的罚款金额上限，由五万元提高至一百万元。</w:t>
      </w:r>
      <w:r>
        <w:rPr>
          <w:rFonts w:hint="eastAsia" w:ascii="宋体" w:hAnsi="宋体" w:eastAsia="宋体" w:cs="宋体"/>
          <w:i w:val="0"/>
          <w:iCs w:val="0"/>
          <w:caps w:val="0"/>
          <w:color w:val="333333"/>
          <w:spacing w:val="0"/>
          <w:sz w:val="24"/>
          <w:szCs w:val="24"/>
          <w:bdr w:val="none" w:color="auto" w:sz="0" w:space="0"/>
          <w:shd w:val="clear" w:fill="FFFFFF"/>
        </w:rPr>
        <w:t>新会计法对于一般会计违法行为的认定，与原会计法保持一致。新会计法在增加“由县级以上人民政府财政部门给予警告、通报批评”的基础上，提高违法行为罚款金额，具体体现在以下两个方面：一是对单位而言，当违法行为情节较轻时，罚款金额的上限是二十万元；当违法行为情节较重时，罚款金额为二十万元以上一百万元以下。二是对个人而言，当违法行为情节较轻时，罚款金额的上限是五万元；当违法行为情节较重时，罚款金额为五万元以上五十万元以下。原会计法未根据违法行为情节轻重设置罚款额度的幅度区间，仅对单位和个人分别设置罚款额度，其中，对单位的罚款额度为三千元以上五万元以下，对个人的罚款额度为二千元以上两万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（二）提高伪造、变造会计凭证、会计账簿以及编制虚假财务会计报告等财务造假违法行为的罚款金额上限，由十万元修改为“违法所得一倍以上十倍以下”。</w:t>
      </w:r>
      <w:r>
        <w:rPr>
          <w:rFonts w:hint="eastAsia" w:ascii="宋体" w:hAnsi="宋体" w:eastAsia="宋体" w:cs="宋体"/>
          <w:i w:val="0"/>
          <w:iCs w:val="0"/>
          <w:caps w:val="0"/>
          <w:color w:val="333333"/>
          <w:spacing w:val="0"/>
          <w:sz w:val="24"/>
          <w:szCs w:val="24"/>
          <w:bdr w:val="none" w:color="auto" w:sz="0" w:space="0"/>
          <w:shd w:val="clear" w:fill="FFFFFF"/>
        </w:rPr>
        <w:t>新会计法对于财务造假违法行为的认定，与原会计法基本保持一致，但将原会计法的第四十三条和第四十四条合并为一条。新会计法与证券法的处罚力度相衔接，在增加“由县级以上人民政府财政部门给予警告、通报批评，没收违法所得”的基础上，对单位的罚款金额以违法所得为参考系，采用倍比罚金制。其中，对违法所得在二十万元以上的，罚款金额为违法所得一倍以上十倍以下；对没有违法所得或者违法所得不足二十万元的，罚款金额为二十万元以上两百万元以下。对个人的罚款金额，根据违法行为情节轻重设置罚款金额的幅度区间并提高处罚金额，情节较轻时，罚款金额为十万元以上五十万元以下；情节较重时，罚款金额为五十万元以上二百万元以下。原会计法对单位的罚款金额为五千元以上十万元以下，对个人的罚款金额为三千元以上五万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（三）提高授意、指使、强令会计机构、会计人员及其他人员伪造、变造会计凭证、会计账簿以及编制虚假财务会计报告等违法行为的罚款金额上限，由五万元提高至五百万元。</w:t>
      </w:r>
      <w:r>
        <w:rPr>
          <w:rFonts w:hint="eastAsia" w:ascii="宋体" w:hAnsi="宋体" w:eastAsia="宋体" w:cs="宋体"/>
          <w:i w:val="0"/>
          <w:iCs w:val="0"/>
          <w:caps w:val="0"/>
          <w:color w:val="333333"/>
          <w:spacing w:val="0"/>
          <w:sz w:val="24"/>
          <w:szCs w:val="24"/>
          <w:bdr w:val="none" w:color="auto" w:sz="0" w:space="0"/>
          <w:shd w:val="clear" w:fill="FFFFFF"/>
        </w:rPr>
        <w:t>新会计法对于授意、指使、强令会计机构、会计人员及其他人员进行财务造假的认定，与原会计法保持一致。新会计法在增加“由县级以上人民政府财政部门给予警告、通报批评”的基础上，根据违法行为情节轻重设置罚款金额的幅度区间，提高违法行为的罚款金额。其中，当违法行为情节较轻时，罚款金额为二十万元以上一百万元以下；当违法行为情节较重时，罚款金额为一百万元以上五百万元以下。原会计法对当事人的罚款金额为五千元以上五万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三、贯彻落实新会计法的具体举措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各单位、中介机构和各级财政部门，应当认真学习贯彻落实新会计法，充分认识本次会计法修改的重要意义，依法履行相关职责，有效防范遏制财务造假等会计违法行为。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（一）进一步加强单位内部监督。</w:t>
      </w:r>
      <w:r>
        <w:rPr>
          <w:rFonts w:hint="eastAsia" w:ascii="宋体" w:hAnsi="宋体" w:eastAsia="宋体" w:cs="宋体"/>
          <w:i w:val="0"/>
          <w:iCs w:val="0"/>
          <w:caps w:val="0"/>
          <w:color w:val="333333"/>
          <w:spacing w:val="0"/>
          <w:sz w:val="24"/>
          <w:szCs w:val="24"/>
          <w:bdr w:val="none" w:color="auto" w:sz="0" w:space="0"/>
          <w:shd w:val="clear" w:fill="FFFFFF"/>
        </w:rPr>
        <w:t>各单位应当加强对本单位经济业务、财务管理、会计行为的日常监督。结合自身实际建立权责清晰、约束有力的内部会计监督机制和内部控制体系，明确内部监督的主体、范围、程序、权责等，落实单位内部会计监督主体责任。各单位主要负责人是本单位会计监督工作第一责任人，对本单位财会工作和财会资料的真实性、完整性负责。单位内部应当明确承担会计监督职责的机构或人员，负责本单位经济业务、财会行为和会计资料的日常监督检查，财会人员要加强自我约束，遵守职业道德，拒绝办理或按照职权纠正违反法律法规规定的财会事项，有权检举单位或个人的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（二）发挥中介机构执业监督作用。</w:t>
      </w:r>
      <w:r>
        <w:rPr>
          <w:rFonts w:hint="eastAsia" w:ascii="宋体" w:hAnsi="宋体" w:eastAsia="宋体" w:cs="宋体"/>
          <w:i w:val="0"/>
          <w:iCs w:val="0"/>
          <w:caps w:val="0"/>
          <w:color w:val="333333"/>
          <w:spacing w:val="0"/>
          <w:sz w:val="24"/>
          <w:szCs w:val="24"/>
          <w:bdr w:val="none" w:color="auto" w:sz="0" w:space="0"/>
          <w:shd w:val="clear" w:fill="FFFFFF"/>
        </w:rPr>
        <w:t>会计师事务所、资产评估机构、税务师事务所、代理记账机构等中介机构应当严格依法履行审计鉴证、资产评估、税收服务、会计服务等职责，确保独立、客观、公正、规范执业。切实加强对执业质量的把控，完善内部控制制度，建立内部风险防控机制，加强风险分类防控，提升内部管理水平，规范承揽和开展业务，建立健全事前评估、事中跟踪、事后评价管理体系，强化质量管理责任。持续提升中介机构一体化管理水平，实现人员调配、财务安排、业务承接、技术标准、信息化建设的实质性一体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7"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（三）进一步规范会计行政执法。</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级财政部门要高度重视新会计法的学习、宣传、培训等相关工作，分层级、分地区组织会计行政执法人员，认真学习、正确理解新会计法的立法原则、基本制度和各项规定。要加强对会计信息质量的监督检查力度，依法严厉打击伪造会计账簿、虚构经济业务、滥用会计准则等会计违法违规行为，从严查处影响恶劣的财务舞弊、会计造假案件。要遵循“过罚相当”原则，依据新会计法的相关规定和违法事实，根据违法行为情节轻重作出处理处罚，确保罚款裁量尺度符合法定要求。要坚持行政处罚与教育相结合，将普法教育贯穿于行政处罚全过程，充分利用会计监督检查成果，有效发挥典型案例的警示教育作用，通过曝光会计违法典型案例，以案释法、强化震慑，引导单位和个人依法规范开展会计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ABA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詹爱珍</cp:lastModifiedBy>
  <dcterms:modified xsi:type="dcterms:W3CDTF">2024-10-24T16:34:23Z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580BFC71A3B33E018F061A67E9704DAA</vt:lpwstr>
  </property>
</Properties>
</file>