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18"/>
          <w:szCs w:val="18"/>
        </w:rPr>
      </w:pPr>
      <w:r>
        <mc:AlternateContent>
          <mc:Choice Requires="wps">
            <w:drawing>
              <wp:anchor distT="0" distB="0" distL="114300" distR="114300" simplePos="0" relativeHeight="251661312" behindDoc="0" locked="0" layoutInCell="1" allowOverlap="1">
                <wp:simplePos x="0" y="0"/>
                <wp:positionH relativeFrom="column">
                  <wp:posOffset>4508500</wp:posOffset>
                </wp:positionH>
                <wp:positionV relativeFrom="paragraph">
                  <wp:posOffset>-1066165</wp:posOffset>
                </wp:positionV>
                <wp:extent cx="1580515" cy="501650"/>
                <wp:effectExtent l="0" t="0" r="635" b="12700"/>
                <wp:wrapNone/>
                <wp:docPr id="5" name="文本框 15"/>
                <wp:cNvGraphicFramePr/>
                <a:graphic xmlns:a="http://schemas.openxmlformats.org/drawingml/2006/main">
                  <a:graphicData uri="http://schemas.microsoft.com/office/word/2010/wordprocessingShape">
                    <wps:wsp>
                      <wps:cNvSpPr txBox="true"/>
                      <wps:spPr>
                        <a:xfrm>
                          <a:off x="0" y="0"/>
                          <a:ext cx="1580515" cy="501650"/>
                        </a:xfrm>
                        <a:prstGeom prst="rect">
                          <a:avLst/>
                        </a:prstGeom>
                        <a:solidFill>
                          <a:srgbClr val="FFFFFF"/>
                        </a:solidFill>
                        <a:ln>
                          <a:noFill/>
                        </a:ln>
                      </wps:spPr>
                      <wps:txbx>
                        <w:txbxContent>
                          <w:p>
                            <w:pPr>
                              <w:jc w:val="right"/>
                              <w:rPr>
                                <w:rFonts w:hint="default" w:eastAsia="宋体"/>
                                <w:lang w:val="en-US" w:eastAsia="zh-CN"/>
                              </w:rPr>
                            </w:pPr>
                          </w:p>
                        </w:txbxContent>
                      </wps:txbx>
                      <wps:bodyPr wrap="square" upright="true"/>
                    </wps:wsp>
                  </a:graphicData>
                </a:graphic>
              </wp:anchor>
            </w:drawing>
          </mc:Choice>
          <mc:Fallback>
            <w:pict>
              <v:shape id="文本框 15" o:spid="_x0000_s1026" o:spt="202" type="#_x0000_t202" style="position:absolute;left:0pt;margin-left:355pt;margin-top:-83.95pt;height:39.5pt;width:124.45pt;z-index:251661312;mso-width-relative:page;mso-height-relative:page;" fillcolor="#FFFFFF" filled="t" stroked="f" coordsize="21600,21600" o:gfxdata="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PJr0nYAAAADAEAAA8AAAAAAAAAAQAgAAAAOAAAAGRycy9k&#10;b3ducmV2LnhtbFBLAQIUABQAAAAIAIdO4kDK4Pj0swEAAD4DAAAOAAAAAAAAAAEAIAAAAD0BAABk&#10;cnMvZTJvRG9jLnhtbFBLBQYAAAAABgAGAFkBAABiBQAAAAA=&#10;">
                <v:fill on="t" focussize="0,0"/>
                <v:stroke on="f"/>
                <v:imagedata o:title=""/>
                <o:lock v:ext="edit" aspectratio="f"/>
                <v:textbox>
                  <w:txbxContent>
                    <w:p>
                      <w:pPr>
                        <w:jc w:val="right"/>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-466725</wp:posOffset>
                </wp:positionV>
                <wp:extent cx="6282055" cy="100584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6282055" cy="1005840"/>
                        </a:xfrm>
                        <a:prstGeom prst="rect">
                          <a:avLst/>
                        </a:prstGeom>
                        <a:noFill/>
                        <a:ln>
                          <a:noFill/>
                        </a:ln>
                      </wps:spPr>
                      <wps:txbx>
                        <w:txbxContent>
                          <w:p>
                            <w:pPr>
                              <w:jc w:val="distribute"/>
                              <w:rPr>
                                <w:rFonts w:hint="eastAsia" w:ascii="方正小标宋简体" w:eastAsia="方正小标宋简体"/>
                                <w:color w:val="FF0000"/>
                                <w:w w:val="60"/>
                                <w:sz w:val="96"/>
                                <w:szCs w:val="96"/>
                                <w:lang w:eastAsia="zh-CN"/>
                              </w:rPr>
                            </w:pPr>
                            <mc:AlternateContent>
                              <mc:Choice Requires="wpsCustomData">
                                <wpsCustomData:docfieldStart id="7" docfieldname="RED_TITLE" hidden="false" print="true" readonly="false" index="5"/>
                              </mc:Choice>
                            </mc:AlternateContent>
                            <w:r>
                              <w:rPr>
                                <w:rFonts w:hint="eastAsia" w:ascii="方正小标宋简体" w:eastAsia="方正小标宋简体"/>
                                <w:color w:val="FF0000"/>
                                <w:w w:val="60"/>
                                <w:sz w:val="96"/>
                                <w:szCs w:val="96"/>
                                <w:lang w:eastAsia="zh-CN"/>
                              </w:rPr>
                              <w:t>深圳市规划和自然资源局福田管理局</w:t>
                            </w:r>
                            <mc:AlternateContent>
                              <mc:Choice Requires="wpsCustomData">
                                <wpsCustomData:docfieldEnd id="7"/>
                              </mc:Choice>
                            </mc:AlternateContent>
                          </w:p>
                        </w:txbxContent>
                      </wps:txbx>
                      <wps:bodyPr wrap="square" upright="true"/>
                    </wps:wsp>
                  </a:graphicData>
                </a:graphic>
              </wp:anchor>
            </w:drawing>
          </mc:Choice>
          <mc:Fallback>
            <w:pict>
              <v:shape id="文本框 2" o:spid="_x0000_s1026" o:spt="202" type="#_x0000_t202" style="position:absolute;left:0pt;margin-left:-26.95pt;margin-top:-36.75pt;height:79.2pt;width:494.65pt;z-index:251660288;mso-width-relative:page;mso-height-relative:page;" filled="f" stroked="f" coordsize="21600,21600" o:gfxdata="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Zik52AAAAAoBAAAPAAAAAAAAAAEAIAAAADgAAABkcnMvZG93bnJldi54bWxQSwECFAAUAAAA&#10;CACHTuJA+BVz658BAAAVAwAADgAAAAAAAAABACAAAAA9AQAAZHJzL2Uyb0RvYy54bWxQSwUGAAAA&#10;AAYABgBZAQAATgUAAAAA&#10;">
                <v:fill on="f" focussize="0,0"/>
                <v:stroke on="f"/>
                <v:imagedata o:title=""/>
                <o:lock v:ext="edit" aspectratio="f"/>
                <v:textbox>
                  <w:txbxContent>
                    <w:p>
                      <w:pPr>
                        <w:jc w:val="distribute"/>
                        <w:rPr>
                          <w:rFonts w:hint="eastAsia" w:ascii="方正小标宋简体" w:eastAsia="方正小标宋简体"/>
                          <w:color w:val="FF0000"/>
                          <w:w w:val="60"/>
                          <w:sz w:val="96"/>
                          <w:szCs w:val="96"/>
                          <w:lang w:eastAsia="zh-CN"/>
                        </w:rPr>
                      </w:pPr>
                      <mc:AlternateContent>
                        <mc:Choice Requires="wpsCustomData">
                          <wpsCustomData:docfieldStart id="7" docfieldname="RED_TITLE" hidden="false" print="true" readonly="false" index="5"/>
                        </mc:Choice>
                      </mc:AlternateContent>
                      <w:r>
                        <w:rPr>
                          <w:rFonts w:hint="eastAsia" w:ascii="方正小标宋简体" w:eastAsia="方正小标宋简体"/>
                          <w:color w:val="FF0000"/>
                          <w:w w:val="60"/>
                          <w:sz w:val="96"/>
                          <w:szCs w:val="96"/>
                          <w:lang w:eastAsia="zh-CN"/>
                        </w:rPr>
                        <w:t>深圳市规划和自然资源局福田管理局</w:t>
                      </w:r>
                      <mc:AlternateContent>
                        <mc:Choice Requires="wpsCustomData">
                          <wpsCustomData:docfieldEnd id="7"/>
                        </mc:Choice>
                      </mc:AlternateContent>
                    </w:p>
                  </w:txbxContent>
                </v:textbox>
              </v:shape>
            </w:pict>
          </mc:Fallback>
        </mc:AlternateContent>
      </w: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mc:AlternateContent>
          <mc:Choice Requires="wpg">
            <w:drawing>
              <wp:anchor distT="0" distB="0" distL="114300" distR="114300" simplePos="0" relativeHeight="251659264" behindDoc="1" locked="0" layoutInCell="1" allowOverlap="1">
                <wp:simplePos x="0" y="0"/>
                <wp:positionH relativeFrom="column">
                  <wp:posOffset>-264160</wp:posOffset>
                </wp:positionH>
                <wp:positionV relativeFrom="paragraph">
                  <wp:posOffset>166370</wp:posOffset>
                </wp:positionV>
                <wp:extent cx="6088380" cy="76200"/>
                <wp:effectExtent l="0" t="13970" r="7620" b="5080"/>
                <wp:wrapNone/>
                <wp:docPr id="3" name="组合 14"/>
                <wp:cNvGraphicFramePr/>
                <a:graphic xmlns:a="http://schemas.openxmlformats.org/drawingml/2006/main">
                  <a:graphicData uri="http://schemas.microsoft.com/office/word/2010/wordprocessingGroup">
                    <wpg:wgp>
                      <wpg:cNvGrpSpPr/>
                      <wpg:grpSpPr>
                        <a:xfrm>
                          <a:off x="0" y="0"/>
                          <a:ext cx="6088380" cy="76200"/>
                          <a:chOff x="1172" y="2984"/>
                          <a:chExt cx="9588" cy="120"/>
                        </a:xfrm>
                      </wpg:grpSpPr>
                      <wps:wsp>
                        <wps:cNvPr id="1" name="直线 11"/>
                        <wps:cNvCnPr/>
                        <wps:spPr>
                          <a:xfrm>
                            <a:off x="1172" y="2984"/>
                            <a:ext cx="9578" cy="0"/>
                          </a:xfrm>
                          <a:prstGeom prst="line">
                            <a:avLst/>
                          </a:prstGeom>
                          <a:ln w="28575" cap="flat" cmpd="sng">
                            <a:solidFill>
                              <a:srgbClr val="FF0000"/>
                            </a:solidFill>
                            <a:prstDash val="solid"/>
                            <a:headEnd type="none" w="med" len="med"/>
                            <a:tailEnd type="none" w="med" len="med"/>
                          </a:ln>
                        </wps:spPr>
                        <wps:bodyPr upright="true"/>
                      </wps:wsp>
                      <wps:wsp>
                        <wps:cNvPr id="2" name="直线 12"/>
                        <wps:cNvCnPr/>
                        <wps:spPr>
                          <a:xfrm>
                            <a:off x="1185" y="3104"/>
                            <a:ext cx="9575" cy="0"/>
                          </a:xfrm>
                          <a:prstGeom prst="line">
                            <a:avLst/>
                          </a:prstGeom>
                          <a:ln w="6350" cap="flat" cmpd="sng">
                            <a:solidFill>
                              <a:srgbClr val="FF0000"/>
                            </a:solidFill>
                            <a:prstDash val="solid"/>
                            <a:headEnd type="none" w="med" len="med"/>
                            <a:tailEnd type="none" w="med" len="med"/>
                          </a:ln>
                        </wps:spPr>
                        <wps:bodyPr upright="true"/>
                      </wps:wsp>
                    </wpg:wgp>
                  </a:graphicData>
                </a:graphic>
              </wp:anchor>
            </w:drawing>
          </mc:Choice>
          <mc:Fallback>
            <w:pict>
              <v:group id="组合 14" o:spid="_x0000_s1026" o:spt="203" style="position:absolute;left:0pt;margin-left:-20.8pt;margin-top:13.1pt;height:6pt;width:479.4pt;z-index:-251657216;mso-width-relative:page;mso-height-relative:page;" coordorigin="1172,2984" coordsize="9588,120" o:gfxdata="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2qM0NtoAAAAJAQAADwAAAAAAAAABACAAAAA4AAAAZHJzL2Rvd25yZXYueG1sUEsBAhQAFAAA&#10;AAgAh07iQJq5ywGCAgAAyAYAAA4AAAAAAAAAAQAgAAAAPwEAAGRycy9lMm9Eb2MueG1sUEsFBgAA&#10;AAAGAAYAWQEAADMGAAAAAA==&#10;">
                <o:lock v:ext="edit" aspectratio="f"/>
                <v:line id="直线 11" o:spid="_x0000_s1026" o:spt="20" style="position:absolute;left:1172;top:2984;height:0;width:9578;" filled="f" stroked="t" coordsize="21600,21600" o:gfxdata="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&#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fzW7uQAAANoAAAAPAAAAAAAAAAEAIAAAADgAAABkcnMvZG93bnJldi54bWxQ&#10;SwECFAAUAAAACACHTuJAMy8FnjsAAAA5AAAAEAAAAAAAAAABACAAAAAeAQAAZHJzL3NoYXBleG1s&#10;LnhtbFBLBQYAAAAABgAGAFsBAADIAwAAAAA=&#10;">
                  <v:fill on="f" focussize="0,0"/>
                  <v:stroke weight="2.25pt" color="#FF0000" joinstyle="round"/>
                  <v:imagedata o:title=""/>
                  <o:lock v:ext="edit" aspectratio="f"/>
                </v:line>
                <v:line id="直线 12" o:spid="_x0000_s1026" o:spt="20" style="position:absolute;left:1185;top:3104;height:0;width:9575;" filled="f" stroked="t" coordsize="21600,21600" o:gfxdata="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Y+a+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p>
      <w:pPr>
        <w:rPr>
          <w:rFonts w:hint="eastAsia" w:ascii="宋体" w:hAnsi="宋体"/>
          <w:sz w:val="18"/>
          <w:szCs w:val="18"/>
        </w:rPr>
      </w:pPr>
    </w:p>
    <w:p>
      <w:pPr>
        <w:spacing w:line="560" w:lineRule="exact"/>
        <w:jc w:val="right"/>
        <w:rPr>
          <w:rFonts w:hint="eastAsia" w:ascii="仿宋_GB2312" w:eastAsia="仿宋_GB2312"/>
          <w:sz w:val="32"/>
        </w:rPr>
      </w:pPr>
      <mc:AlternateContent>
        <mc:Choice Requires="wpsCustomData">
          <wpsCustomData:docfieldStart id="0" docfieldname="DOC_FLAG" hidden="false" print="true" readonly="false" index="2"/>
        </mc:Choice>
      </mc:AlternateContent>
      <w:bookmarkStart w:id="0" w:name="DOC_FLAG"/>
      <w:bookmarkEnd w:id="0"/>
      <w:r>
        <w:rPr>
          <w:rFonts w:hint="eastAsia" w:ascii="仿宋_GB2312" w:eastAsia="仿宋_GB2312"/>
          <w:sz w:val="32"/>
          <w:lang w:eastAsia="zh-CN"/>
        </w:rPr>
        <w:t>深规划资源福函</w:t>
      </w:r>
      <mc:AlternateContent>
        <mc:Choice Requires="wpsCustomData">
          <wpsCustomData:docfieldEnd id="0"/>
        </mc:Choice>
      </mc:AlternateContent>
      <w:r>
        <w:rPr>
          <w:rFonts w:hint="eastAsia" w:ascii="仿宋_GB2312" w:eastAsia="仿宋_GB2312"/>
          <w:sz w:val="32"/>
        </w:rPr>
        <w:t>〔</w:t>
      </w:r>
      <w:bookmarkStart w:id="1" w:name="DOC_YEAR1"/>
      <w:bookmarkEnd w:id="1"/>
      <mc:AlternateContent>
        <mc:Choice Requires="wpsCustomData">
          <wpsCustomData:docfieldStart id="1" docfieldname="DOC_YEAR1" hidden="false" print="true" readonly="false" index="4"/>
        </mc:Choice>
      </mc:AlternateContent>
      <w:r>
        <w:rPr>
          <w:rFonts w:hint="eastAsia" w:ascii="仿宋_GB2312" w:eastAsia="仿宋_GB2312"/>
          <w:sz w:val="32"/>
          <w:lang w:eastAsia="zh-CN"/>
        </w:rPr>
        <w:t>2024</w:t>
      </w:r>
      <mc:AlternateContent>
        <mc:Choice Requires="wpsCustomData">
          <wpsCustomData:docfieldEnd id="1"/>
        </mc:Choice>
      </mc:AlternateContent>
      <w:r>
        <w:rPr>
          <w:rFonts w:hint="eastAsia" w:ascii="仿宋_GB2312" w:eastAsia="仿宋_GB2312"/>
          <w:sz w:val="32"/>
        </w:rPr>
        <w:t>〕</w:t>
      </w:r>
      <w:bookmarkStart w:id="2" w:name="DOC_SEQ1"/>
      <w:bookmarkEnd w:id="2"/>
      <mc:AlternateContent>
        <mc:Choice Requires="wpsCustomData">
          <wpsCustomData:docfieldStart id="2" docfieldname="DOC_SEQ1" hidden="false" print="true" readonly="false" index="9"/>
        </mc:Choice>
      </mc:AlternateContent>
      <w:r>
        <w:rPr>
          <w:rFonts w:hint="eastAsia" w:ascii="仿宋_GB2312" w:eastAsia="仿宋_GB2312"/>
          <w:sz w:val="32"/>
          <w:lang w:val="en-US" w:eastAsia="zh-CN"/>
        </w:rPr>
        <w:t>1009</w:t>
      </w:r>
      <mc:AlternateContent>
        <mc:Choice Requires="wpsCustomData">
          <wpsCustomData:docfieldEnd id="2"/>
        </mc:Choice>
      </mc:AlternateContent>
      <w:r>
        <w:rPr>
          <w:rFonts w:hint="eastAsia" w:ascii="仿宋_GB2312" w:eastAsia="仿宋_GB2312"/>
          <w:sz w:val="32"/>
        </w:rPr>
        <w:t>号</w:t>
      </w:r>
    </w:p>
    <w:p>
      <w:pPr>
        <w:spacing w:line="560" w:lineRule="exact"/>
        <w:rPr>
          <w:rFonts w:hint="eastAsia" w:ascii="仿宋_GB2312" w:eastAsia="仿宋_GB2312"/>
          <w:sz w:val="32"/>
          <w:szCs w:val="32"/>
        </w:rPr>
      </w:pPr>
    </w:p>
    <w:p>
      <w:pPr>
        <w:spacing w:line="520" w:lineRule="exact"/>
        <w:rPr>
          <w:rFonts w:hint="eastAsia" w:ascii="ˎ̥" w:hAnsi="ˎ̥"/>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pacing w:val="-11"/>
          <w:sz w:val="44"/>
          <w:szCs w:val="44"/>
        </w:rPr>
      </w:pPr>
      <mc:AlternateContent>
        <mc:Choice Requires="wpsCustomData">
          <wpsCustomData:docfieldStart id="3" docfieldname="Content" hidden="false" print="true" readonly="false" index="6"/>
        </mc:Choice>
      </mc:AlternateContent>
      <w:bookmarkStart w:id="3" w:name="Content"/>
      <w:bookmarkEnd w:id="3"/>
      <w:r>
        <w:rPr>
          <w:rFonts w:hint="eastAsia" w:ascii="方正小标宋简体" w:hAnsi="宋体" w:eastAsia="方正小标宋简体"/>
          <w:spacing w:val="-11"/>
          <w:sz w:val="44"/>
          <w:szCs w:val="44"/>
        </w:rPr>
        <w:t>市规划和自然资源局福田管理局关于区政协六届四次会议第</w:t>
      </w:r>
      <w:r>
        <w:rPr>
          <w:rFonts w:hint="eastAsia" w:ascii="方正小标宋简体" w:hAnsi="宋体" w:eastAsia="方正小标宋简体"/>
          <w:spacing w:val="-11"/>
          <w:sz w:val="44"/>
          <w:szCs w:val="44"/>
          <w:lang w:val="en-US" w:eastAsia="zh-CN"/>
        </w:rPr>
        <w:t>2024071</w:t>
      </w:r>
      <w:r>
        <w:rPr>
          <w:rFonts w:hint="eastAsia" w:ascii="方正小标宋简体" w:hAnsi="宋体" w:eastAsia="方正小标宋简体"/>
          <w:spacing w:val="-11"/>
          <w:sz w:val="44"/>
          <w:szCs w:val="44"/>
        </w:rPr>
        <w:t>号提案答复意见的函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lang w:eastAsia="zh-CN"/>
        </w:rPr>
        <w:t>尊敬的杨丽艳委员</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您提出的《关于推进零星地块开发利用，优化城市空间布局的提案》收悉。此件由我局主办。我局对此提案高度重视，深入研究提案内容并积极向市规划和自然资源局和区政府汇报沟通。经认真研究，现就您的建议事项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一、关于开展零星地块调查工作</w:t>
      </w:r>
      <w:r>
        <w:rPr>
          <w:rFonts w:hint="eastAsia" w:ascii="黑体" w:hAnsi="黑体" w:eastAsia="黑体" w:cs="黑体"/>
          <w:sz w:val="32"/>
          <w:szCs w:val="32"/>
          <w:lang w:val="en-US" w:eastAsia="zh-CN"/>
        </w:rPr>
        <w:t>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提案所提出的零星地块主要可分为国有未出让用地与国有已出让用地两种情形：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针对国有未出让用地，已纳入国有储备库的零星地块已由土地储备部门统筹管理，后续将根据规划建设需要进行供应利用。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针对国有已出让用地，已按照全市低效用地盘整有关工作安排，结合国土变更调查数据、建筑普查数据、用地权属信息、详细规划“一张图”信息等基础资料，形成低效用地潜力库数据台账，为后续低效用地动态管理和再开发提供数据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二、关于出台零星地块开发利用支持政策的建议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深圳市城市更新办法实施细则》中已提出未建设用地因规划统筹确需划入城市更新单元，属于国有未出让的边角地、夹心地、插花地的，总面积不超过项目拆除范围用地面积的10%且不超过3000平方米的部分，可以作为零星用地一并出让给项目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同时，为进一步完善特区土地管理立法，构建高质量发展的土地供给制度体系，合理高效利用土地资源，市规划和自然资源局结合深圳实际起草的《深圳经济特区国有土地供应管理条例（征求意见稿）》中，也已提出鼓励零散用地统筹使用的条款，明确对面积不超过三千平方米且不能单独开发的边角地、夹心地、插花地，可以以划拨或协议出让方式供应给相邻地块的土地使用权人统筹利用。该条例已列入《深圳市人大常委会2024年度立法计划》，目前尚在研究制定中，我局将持续跟进条例编制出台进度，结合规划土地管理实际与提案所提出的建议积极研提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三、关于将零星地块利用作为民生设施的建议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国家发展改革委等有关部门已印发城市社区嵌入式服务设施有关文件，进一步完善了城市社区嵌入式服务设施的规划、用地政策支持，提出了相关建设导则。目前我市正积极争取纳入全国首批社区嵌入式服务设施建设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同时，我局在编制城市国土空间分区规划和详细规划时也已统筹考虑社区级公共服务设施的建设需求，严格执行《深圳市城市规划标准与准则》中教育、养老、托育、文化、体育、健康服务、社区管理、便民服务等公共服务设施规划标准，在项目报建、验收等环节层层落实管控的方式，全链条闭环式保障规划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最后，感谢您对我局工作的关心和支持！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市规划和自然资源局</w:t>
      </w:r>
      <w:r>
        <w:rPr>
          <w:rFonts w:hint="eastAsia" w:ascii="仿宋_GB2312" w:hAnsi="宋体" w:eastAsia="仿宋_GB2312"/>
          <w:sz w:val="32"/>
          <w:szCs w:val="32"/>
          <w:lang w:val="en-US" w:eastAsia="zh-CN"/>
        </w:rPr>
        <w:t>福田管理局</w:t>
      </w:r>
    </w:p>
    <w:p>
      <w:pPr>
        <w:keepNext w:val="0"/>
        <w:keepLines w:val="0"/>
        <w:pageBreakBefore w:val="0"/>
        <w:widowControl w:val="0"/>
        <w:kinsoku/>
        <w:wordWrap/>
        <w:overflowPunct/>
        <w:topLinePunct w:val="0"/>
        <w:autoSpaceDE/>
        <w:autoSpaceDN/>
        <w:bidi w:val="0"/>
        <w:adjustRightInd/>
        <w:snapToGrid/>
        <w:spacing w:line="560" w:lineRule="exact"/>
        <w:ind w:right="320" w:firstLine="5440" w:firstLineChars="1700"/>
        <w:jc w:val="both"/>
        <w:textAlignment w:val="auto"/>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16</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明钰童</w:t>
      </w: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83138682</w:t>
      </w:r>
      <w:r>
        <w:rPr>
          <w:rFonts w:hint="eastAsia" w:ascii="仿宋_GB2312" w:hAnsi="宋体" w:eastAsia="仿宋_GB2312"/>
          <w:sz w:val="32"/>
          <w:szCs w:val="32"/>
        </w:rPr>
        <w:t>)</w:t>
      </w:r>
    </w:p>
    <w:p>
      <w:pPr>
        <w:rPr>
          <w:rFonts w:hint="eastAsia" w:ascii="CESI仿宋-GB2312" w:hAnsi="CESI仿宋-GB2312" w:eastAsia="CESI仿宋-GB2312" w:cs="CESI仿宋-GB2312"/>
          <w:sz w:val="32"/>
          <w:szCs w:val="32"/>
          <w:lang w:val="en"/>
        </w:rPr>
      </w:pPr>
    </w:p>
    <w:p>
      <w:pPr>
        <w:spacing w:line="580" w:lineRule="exact"/>
        <w:rPr>
          <w:rFonts w:ascii="Times New Roman" w:hAnsi="Times New Roman"/>
          <w:b/>
          <w:sz w:val="44"/>
          <w:szCs w:val="44"/>
        </w:rPr>
      </w:pPr>
    </w:p>
    <w:p>
      <w:pPr>
        <w:spacing w:line="580" w:lineRule="exact"/>
        <w:ind w:right="1040"/>
        <w:jc w:val="right"/>
        <w:rPr>
          <w:rFonts w:ascii="仿宋_GB2312" w:hAnsi="Times New Roman" w:eastAsia="仿宋_GB2312"/>
          <w:sz w:val="32"/>
          <w:szCs w:val="32"/>
        </w:rPr>
      </w:pPr>
    </w:p>
    <w:p>
      <w:pPr>
        <w:spacing w:line="580" w:lineRule="exact"/>
        <w:ind w:right="1040"/>
        <w:jc w:val="right"/>
        <w:rPr>
          <w:rFonts w:ascii="仿宋_GB2312" w:hAnsi="Times New Roman" w:eastAsia="仿宋_GB2312"/>
          <w:sz w:val="32"/>
          <w:szCs w:val="32"/>
        </w:rPr>
      </w:pPr>
    </w:p>
    <w:p>
      <w:pPr>
        <w:spacing w:line="580" w:lineRule="exact"/>
        <w:rPr>
          <w:rFonts w:ascii="仿宋_GB2312" w:hAnsi="Times New Roman" w:eastAsia="仿宋_GB2312"/>
          <w:sz w:val="32"/>
          <w:szCs w:val="32"/>
        </w:rPr>
      </w:pPr>
    </w:p>
    <w:p>
      <w:pPr>
        <w:spacing w:line="580" w:lineRule="exact"/>
        <w:ind w:firstLine="640" w:firstLineChars="200"/>
        <w:rPr>
          <w:rFonts w:ascii="仿宋_GB2312" w:hAnsi="Times New Roman" w:eastAsia="仿宋_GB2312"/>
          <w:sz w:val="32"/>
          <w:szCs w:val="32"/>
        </w:rPr>
      </w:pPr>
    </w:p>
    <w:p>
      <mc:AlternateContent>
        <mc:Choice Requires="wpsCustomData">
          <wpsCustomData:docfieldStart id="4" docfieldname="COPY_TO" hidden="false" print="true" readonly="false" index="1"/>
        </mc:Choice>
      </mc:AlternateContent>
      <mc:AlternateContent>
        <mc:Choice Requires="wpsCustomData">
          <wpsCustomData:docfieldEnd id="4"/>
        </mc:Choice>
      </mc:AlternateContent>
      <w:bookmarkStart w:id="4" w:name="COPY_TO"/>
      <w:bookmarkEnd w:id="4"/>
    </w:p>
    <w:p/>
    <w:p/>
    <w:p/>
    <w:p/>
    <w:p/>
    <w:p/>
    <w:tbl>
      <w:tblPr>
        <w:tblStyle w:val="11"/>
        <w:tblpPr w:leftFromText="181" w:rightFromText="181" w:vertAnchor="page" w:horzAnchor="page" w:tblpX="1648" w:tblpY="1371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8925"/>
      </w:tblGrid>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425" w:hRule="atLeast"/>
        </w:trPr>
        <w:tc>
          <w:tcPr>
            <w:tcW w:w="8925" w:type="dxa"/>
            <w:noWrap w:val="0"/>
            <w:vAlign w:val="top"/>
          </w:tcPr>
          <w:p>
            <w:pPr>
              <w:spacing w:line="480" w:lineRule="exact"/>
              <w:ind w:firstLine="320" w:firstLineChars="100"/>
              <w:jc w:val="left"/>
              <w:rPr>
                <w:rFonts w:hint="eastAsia" w:ascii="仿宋_GB2312" w:hAnsi="Times New Roman" w:eastAsia="仿宋_GB2312"/>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17" w:hRule="atLeast"/>
        </w:trPr>
        <w:tc>
          <w:tcPr>
            <w:tcW w:w="8925" w:type="dxa"/>
            <w:noWrap w:val="0"/>
            <w:vAlign w:val="top"/>
          </w:tcPr>
          <w:p>
            <w:pPr>
              <w:spacing w:before="170"/>
              <w:ind w:right="284"/>
              <w:jc w:val="right"/>
              <w:rPr>
                <w:rFonts w:ascii="仿宋_GB2312" w:hAnsi="Times New Roman" w:eastAsia="仿宋_GB2312"/>
                <w:spacing w:val="-100"/>
                <w:sz w:val="32"/>
                <w:szCs w:val="32"/>
              </w:rPr>
            </w:pPr>
            <w:bookmarkStart w:id="5" w:name="TWO_DIMENSIONAL_CODE"/>
            <mc:AlternateContent>
              <mc:Choice Requires="wpsCustomData">
                <wpsCustomData:docfieldStart id="5" docfieldname="TWO_DIMENSIONAL_CODE" hidden="false" print="true" readonly="false" index="7"/>
              </mc:Choice>
            </mc:AlternateContent>
            <w:r>
              <w:rPr>
                <w:rFonts w:hint="eastAsia" w:ascii="CESI仿宋-GB2312" w:hAnsi="CESI仿宋-GB2312" w:eastAsia="CESI仿宋-GB2312" w:cs="CESI仿宋-GB2312"/>
                <w:sz w:val="32"/>
                <w:szCs w:val="32"/>
                <w:lang w:eastAsia="zh-CN"/>
              </w:rPr>
              <w:drawing>
                <wp:inline distT="0" distB="0" distL="114300" distR="114300">
                  <wp:extent cx="1143000" cy="257175"/>
                  <wp:effectExtent l="0" t="0" r="0" b="9525"/>
                  <wp:docPr id="6" name="图片 2" descr="c0ca896b-a4c8-4c61-9bf9-020639f1329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descr="c0ca896b-a4c8-4c61-9bf9-020639f1329c"/>
                          <pic:cNvPicPr>
                            <a:picLocks noChangeAspect="true"/>
                          </pic:cNvPicPr>
                        </pic:nvPicPr>
                        <pic:blipFill>
                          <a:blip r:embed="rId7"/>
                          <a:stretch>
                            <a:fillRect/>
                          </a:stretch>
                        </pic:blipFill>
                        <pic:spPr>
                          <a:xfrm>
                            <a:off x="0" y="0"/>
                            <a:ext cx="1143000" cy="257175"/>
                          </a:xfrm>
                          <a:prstGeom prst="rect">
                            <a:avLst/>
                          </a:prstGeom>
                          <a:noFill/>
                          <a:ln>
                            <a:noFill/>
                          </a:ln>
                        </pic:spPr>
                      </pic:pic>
                    </a:graphicData>
                  </a:graphic>
                </wp:inline>
              </w:drawing>
            </w:r>
            <w:r>
              <w:rPr>
                <w:rFonts w:hint="eastAsia" w:ascii="仿宋_GB2312" w:hAnsi="Times New Roman" w:eastAsia="仿宋_GB2312"/>
                <w:spacing w:val="-100"/>
                <w:sz w:val="32"/>
                <w:szCs w:val="32"/>
              </w:rPr>
              <w:t xml:space="preserve">  </w:t>
            </w:r>
            <w:bookmarkEnd w:id="5"/>
            <mc:AlternateContent>
              <mc:Choice Requires="wpsCustomData">
                <wpsCustomData:docfieldEnd id="5"/>
              </mc:Choice>
            </mc:AlternateContent>
          </w:p>
        </w:tc>
      </w:tr>
    </w:tbl>
    <w:p>
      <w:bookmarkStart w:id="6" w:name="_GoBack"/>
      <w:bookmarkEnd w:id="6"/>
    </w:p>
    <w:p>
      <w:pPr>
        <w:spacing w:line="560" w:lineRule="exact"/>
        <w:rPr>
          <w:rFonts w:hint="eastAsia" w:ascii="CESI仿宋-GB2312" w:hAnsi="CESI仿宋-GB2312" w:eastAsia="CESI仿宋-GB2312" w:cs="CESI仿宋-GB2312"/>
          <w:b/>
          <w:color w:val="000000"/>
          <w:sz w:val="32"/>
          <w:szCs w:val="32"/>
          <w:lang w:val="en-US"/>
        </w:rPr>
      </w:pPr>
    </w:p>
    <w:p>
      <w:pPr>
        <w:spacing w:line="560" w:lineRule="exact"/>
        <w:rPr>
          <w:rFonts w:hint="eastAsia" w:ascii="CESI仿宋-GB2312" w:hAnsi="CESI仿宋-GB2312" w:eastAsia="CESI仿宋-GB2312" w:cs="CESI仿宋-GB2312"/>
          <w:b/>
          <w:color w:val="000000"/>
          <w:sz w:val="32"/>
          <w:szCs w:val="32"/>
          <w:lang w:val="en-US"/>
        </w:rPr>
      </w:pPr>
    </w:p>
    <w:p>
      <w:pPr>
        <w:spacing w:line="560" w:lineRule="exact"/>
        <w:rPr>
          <w:rFonts w:hint="eastAsia" w:ascii="CESI仿宋-GB2312" w:hAnsi="CESI仿宋-GB2312" w:eastAsia="CESI仿宋-GB2312" w:cs="CESI仿宋-GB2312"/>
          <w:b/>
          <w:color w:val="000000"/>
          <w:sz w:val="32"/>
          <w:szCs w:val="32"/>
          <w:lang w:val="en-US"/>
        </w:rPr>
      </w:pPr>
    </w:p>
    <w:p>
      <w:pPr>
        <w:spacing w:line="560" w:lineRule="exact"/>
        <w:rPr>
          <w:rFonts w:hint="eastAsia" w:ascii="CESI仿宋-GB2312" w:hAnsi="CESI仿宋-GB2312" w:eastAsia="CESI仿宋-GB2312" w:cs="CESI仿宋-GB2312"/>
          <w:b/>
          <w:color w:val="000000"/>
          <w:sz w:val="32"/>
          <w:szCs w:val="32"/>
          <w:lang w:val="en-US"/>
        </w:rPr>
      </w:pPr>
    </w:p>
    <w:p>
      <w:pPr>
        <w:spacing w:line="560" w:lineRule="exact"/>
        <w:rPr>
          <w:rFonts w:hint="eastAsia" w:ascii="CESI仿宋-GB2312" w:hAnsi="CESI仿宋-GB2312" w:eastAsia="CESI仿宋-GB2312" w:cs="CESI仿宋-GB2312"/>
          <w:b/>
          <w:color w:val="000000"/>
          <w:sz w:val="32"/>
          <w:szCs w:val="32"/>
          <w:lang w:val="en-US"/>
        </w:rPr>
      </w:pPr>
    </w:p>
    <mc:AlternateContent>
      <mc:Choice Requires="wpsCustomData">
        <wpsCustomData:docfieldEnd id="3"/>
      </mc:Choice>
    </mc:AlternateContent>
    <w:p>
      <w:pPr>
        <w:spacing w:line="560" w:lineRule="exact"/>
        <w:rPr>
          <w:rFonts w:hint="eastAsia" w:ascii="CESI仿宋-GB2312" w:hAnsi="CESI仿宋-GB2312" w:eastAsia="CESI仿宋-GB2312" w:cs="CESI仿宋-GB2312"/>
          <w:b/>
          <w:color w:val="000000"/>
          <w:sz w:val="32"/>
          <w:szCs w:val="32"/>
          <w:lang w:val="en-US"/>
        </w:rPr>
      </w:pPr>
    </w:p>
    <w:p>
      <w:pPr>
        <w:bidi w:val="0"/>
        <w:spacing w:line="560" w:lineRule="exact"/>
        <w:jc w:val="both"/>
        <w:rPr>
          <w:rFonts w:hint="eastAsia" w:ascii="CESI仿宋-GB2312" w:hAnsi="CESI仿宋-GB2312" w:eastAsia="CESI仿宋-GB2312" w:cs="CESI仿宋-GB2312"/>
          <w:sz w:val="32"/>
          <w:szCs w:val="32"/>
          <w:lang w:eastAsia="zh-CN"/>
        </w:rPr>
      </w:pPr>
      <mc:AlternateContent>
        <mc:Choice Requires="wpsCustomData">
          <wpsCustomData:docfieldStart id="6" docfieldname="barcode" hidden="false" print="true" readonly="false" index="7"/>
        </mc:Choice>
      </mc:AlternateContent>
      <mc:AlternateContent>
        <mc:Choice Requires="wpsCustomData">
          <wpsCustomData:docfieldEnd id="6"/>
        </mc:Choice>
      </mc:AlternateContent>
    </w:p>
    <w:sectPr>
      <w:footerReference r:id="rId5" w:type="first"/>
      <w:footerReference r:id="rId3" w:type="default"/>
      <w:footerReference r:id="rId4" w:type="even"/>
      <w:pgSz w:w="11906" w:h="16838"/>
      <w:pgMar w:top="2098" w:right="1474" w:bottom="1985" w:left="1588" w:header="851" w:footer="147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仿宋_GB2312"/>
        <w:sz w:val="28"/>
      </w:rPr>
    </w:pPr>
    <w:r>
      <w:tab/>
    </w: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3</w:t>
    </w:r>
    <w:r>
      <w:rPr>
        <w:rFonts w:ascii="仿宋_GB2312"/>
        <w:sz w:val="28"/>
      </w:rPr>
      <w:fldChar w:fldCharType="end"/>
    </w:r>
    <w:r>
      <w:rPr>
        <w:rFonts w:ascii="仿宋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ascii="仿宋_GB2312"/>
        <w:sz w:val="28"/>
      </w:rPr>
    </w:pP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2</w:t>
    </w:r>
    <w:r>
      <w:rPr>
        <w:rFonts w:ascii="仿宋_GB2312"/>
        <w:sz w:val="28"/>
      </w:rPr>
      <w:fldChar w:fldCharType="end"/>
    </w:r>
    <w:r>
      <w:rPr>
        <w:rFonts w:ascii="仿宋_GB2312"/>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mc:AlternateContent>
        <mc:Choice Requires="wpg">
          <w:drawing>
            <wp:anchor distT="0" distB="0" distL="114300" distR="114300" simplePos="0" relativeHeight="251659264" behindDoc="0" locked="0" layoutInCell="1" allowOverlap="1">
              <wp:simplePos x="0" y="0"/>
              <wp:positionH relativeFrom="column">
                <wp:posOffset>-248285</wp:posOffset>
              </wp:positionH>
              <wp:positionV relativeFrom="paragraph">
                <wp:posOffset>269875</wp:posOffset>
              </wp:positionV>
              <wp:extent cx="6083935" cy="88265"/>
              <wp:effectExtent l="0" t="4445" r="12065" b="21590"/>
              <wp:wrapNone/>
              <wp:docPr id="10" name="组合 4"/>
              <wp:cNvGraphicFramePr/>
              <a:graphic xmlns:a="http://schemas.openxmlformats.org/drawingml/2006/main">
                <a:graphicData uri="http://schemas.microsoft.com/office/word/2010/wordprocessingGroup">
                  <wpg:wgp>
                    <wpg:cNvGrpSpPr/>
                    <wpg:grpSpPr>
                      <a:xfrm>
                        <a:off x="0" y="0"/>
                        <a:ext cx="6083935" cy="88265"/>
                        <a:chOff x="1197" y="15582"/>
                        <a:chExt cx="9553" cy="139"/>
                      </a:xfrm>
                    </wpg:grpSpPr>
                    <wps:wsp>
                      <wps:cNvPr id="8" name="直线 2"/>
                      <wps:cNvCnPr/>
                      <wps:spPr>
                        <a:xfrm>
                          <a:off x="1197" y="15721"/>
                          <a:ext cx="9553" cy="0"/>
                        </a:xfrm>
                        <a:prstGeom prst="line">
                          <a:avLst/>
                        </a:prstGeom>
                        <a:ln w="28575" cap="flat" cmpd="sng">
                          <a:solidFill>
                            <a:srgbClr val="FF0000"/>
                          </a:solidFill>
                          <a:prstDash val="solid"/>
                          <a:headEnd type="none" w="med" len="med"/>
                          <a:tailEnd type="none" w="med" len="med"/>
                        </a:ln>
                      </wps:spPr>
                      <wps:bodyPr upright="true"/>
                    </wps:wsp>
                    <wps:wsp>
                      <wps:cNvPr id="9" name="直线 3"/>
                      <wps:cNvCnPr/>
                      <wps:spPr>
                        <a:xfrm>
                          <a:off x="1197" y="15582"/>
                          <a:ext cx="9553" cy="0"/>
                        </a:xfrm>
                        <a:prstGeom prst="line">
                          <a:avLst/>
                        </a:prstGeom>
                        <a:ln w="6350" cap="flat" cmpd="sng">
                          <a:solidFill>
                            <a:srgbClr val="FF0000"/>
                          </a:solidFill>
                          <a:prstDash val="solid"/>
                          <a:headEnd type="none" w="med" len="med"/>
                          <a:tailEnd type="none" w="med" len="med"/>
                        </a:ln>
                      </wps:spPr>
                      <wps:bodyPr upright="true"/>
                    </wps:wsp>
                  </wpg:wgp>
                </a:graphicData>
              </a:graphic>
            </wp:anchor>
          </w:drawing>
        </mc:Choice>
        <mc:Fallback>
          <w:pict>
            <v:group id="组合 4" o:spid="_x0000_s1026" o:spt="203" style="position:absolute;left:0pt;margin-left:-19.55pt;margin-top:21.25pt;height:6.95pt;width:479.05pt;z-index:251659264;mso-width-relative:page;mso-height-relative:page;" coordorigin="1197,15582" coordsize="9553,139" o:gfxdata="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GV/JlbaAAAACQEAAA8AAAAAAAAA&#10;AQAgAAAAOAAAAGRycy9kb3ducmV2LnhtbFBLAQIUABQAAAAIAIdO4kCw5ysnawIAAMkGAAAOAAAA&#10;AAAAAAEAIAAAAD8BAABkcnMvZTJvRG9jLnhtbFBLBQYAAAAABgAGAFkBAAAcBgAAAAA=&#10;">
              <o:lock v:ext="edit" aspectratio="f"/>
              <v:line id="直线 2" o:spid="_x0000_s1026" o:spt="20" style="position:absolute;left:1197;top:15721;height:0;width:9553;" filled="f" stroked="t" coordsize="21600,21600" o:gfxdata="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0WcJrcAAADaAAAADwAAAAAAAAABACAAAAA4AAAAZHJzL2Rvd25yZXYueG1sUEsB&#10;AhQAFAAAAAgAh07iQDMvBZ47AAAAOQAAABAAAAAAAAAAAQAgAAAAHAEAAGRycy9zaGFwZXhtbC54&#10;bWxQSwUGAAAAAAYABgBbAQAAxgMAAAAA&#10;">
                <v:fill on="f" focussize="0,0"/>
                <v:stroke weight="2.25pt" color="#FF0000" joinstyle="round"/>
                <v:imagedata o:title=""/>
                <o:lock v:ext="edit" aspectratio="f"/>
              </v:line>
              <v:line id="直线 3" o:spid="_x0000_s1026" o:spt="20" style="position:absolute;left:1197;top:15582;height:0;width:9553;" filled="f" stroked="t" coordsize="21600,21600" o:gfxdata="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x3TP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4258"/>
    <w:rsid w:val="000122C9"/>
    <w:rsid w:val="0002091E"/>
    <w:rsid w:val="00045964"/>
    <w:rsid w:val="000472E5"/>
    <w:rsid w:val="0005456D"/>
    <w:rsid w:val="00054D79"/>
    <w:rsid w:val="000818E0"/>
    <w:rsid w:val="00082FBA"/>
    <w:rsid w:val="00084F9D"/>
    <w:rsid w:val="00086355"/>
    <w:rsid w:val="000952AC"/>
    <w:rsid w:val="000956CB"/>
    <w:rsid w:val="000962C7"/>
    <w:rsid w:val="00096C3B"/>
    <w:rsid w:val="000A1ADB"/>
    <w:rsid w:val="000B4FED"/>
    <w:rsid w:val="000C344B"/>
    <w:rsid w:val="000D026F"/>
    <w:rsid w:val="000E660F"/>
    <w:rsid w:val="000F572F"/>
    <w:rsid w:val="0011425E"/>
    <w:rsid w:val="001232A5"/>
    <w:rsid w:val="00131E67"/>
    <w:rsid w:val="001432D5"/>
    <w:rsid w:val="00144B38"/>
    <w:rsid w:val="00145053"/>
    <w:rsid w:val="00151492"/>
    <w:rsid w:val="00164C33"/>
    <w:rsid w:val="001659AE"/>
    <w:rsid w:val="001715C6"/>
    <w:rsid w:val="00193921"/>
    <w:rsid w:val="00194E7C"/>
    <w:rsid w:val="00196B86"/>
    <w:rsid w:val="001A25EA"/>
    <w:rsid w:val="001B5771"/>
    <w:rsid w:val="001C10F6"/>
    <w:rsid w:val="001D2643"/>
    <w:rsid w:val="001D57A4"/>
    <w:rsid w:val="001E77B3"/>
    <w:rsid w:val="001F4663"/>
    <w:rsid w:val="001F4B7B"/>
    <w:rsid w:val="00201AD3"/>
    <w:rsid w:val="00211283"/>
    <w:rsid w:val="00213F26"/>
    <w:rsid w:val="00226240"/>
    <w:rsid w:val="002303F0"/>
    <w:rsid w:val="00235F32"/>
    <w:rsid w:val="0024070B"/>
    <w:rsid w:val="00252F7E"/>
    <w:rsid w:val="00272EB3"/>
    <w:rsid w:val="002746DA"/>
    <w:rsid w:val="002966F9"/>
    <w:rsid w:val="00296F30"/>
    <w:rsid w:val="002B0449"/>
    <w:rsid w:val="002D3564"/>
    <w:rsid w:val="002D69B9"/>
    <w:rsid w:val="002F0C3A"/>
    <w:rsid w:val="002F547B"/>
    <w:rsid w:val="00301D6D"/>
    <w:rsid w:val="003065C9"/>
    <w:rsid w:val="0031363D"/>
    <w:rsid w:val="00316BC7"/>
    <w:rsid w:val="00335DC8"/>
    <w:rsid w:val="00340C31"/>
    <w:rsid w:val="00351D71"/>
    <w:rsid w:val="0035720F"/>
    <w:rsid w:val="00361D7C"/>
    <w:rsid w:val="00373E0F"/>
    <w:rsid w:val="00373EE6"/>
    <w:rsid w:val="00380520"/>
    <w:rsid w:val="00381C4E"/>
    <w:rsid w:val="00382EBD"/>
    <w:rsid w:val="00386B17"/>
    <w:rsid w:val="00390F94"/>
    <w:rsid w:val="003A1F25"/>
    <w:rsid w:val="003B1139"/>
    <w:rsid w:val="003B30BD"/>
    <w:rsid w:val="003E767F"/>
    <w:rsid w:val="003F29EB"/>
    <w:rsid w:val="003F2CDD"/>
    <w:rsid w:val="003F46A1"/>
    <w:rsid w:val="00401418"/>
    <w:rsid w:val="00404A62"/>
    <w:rsid w:val="00413BD1"/>
    <w:rsid w:val="00417448"/>
    <w:rsid w:val="00423300"/>
    <w:rsid w:val="004431FC"/>
    <w:rsid w:val="004450A4"/>
    <w:rsid w:val="00452EFB"/>
    <w:rsid w:val="004634DC"/>
    <w:rsid w:val="00464021"/>
    <w:rsid w:val="00471172"/>
    <w:rsid w:val="00471764"/>
    <w:rsid w:val="004973F2"/>
    <w:rsid w:val="004A3650"/>
    <w:rsid w:val="004C3340"/>
    <w:rsid w:val="004C5837"/>
    <w:rsid w:val="004D135B"/>
    <w:rsid w:val="004D3BE4"/>
    <w:rsid w:val="004E4E8D"/>
    <w:rsid w:val="004E790C"/>
    <w:rsid w:val="004F2339"/>
    <w:rsid w:val="004F4B25"/>
    <w:rsid w:val="00504FC2"/>
    <w:rsid w:val="00511D66"/>
    <w:rsid w:val="00516F5D"/>
    <w:rsid w:val="00524CA4"/>
    <w:rsid w:val="0053193E"/>
    <w:rsid w:val="005356C5"/>
    <w:rsid w:val="005557CF"/>
    <w:rsid w:val="00557371"/>
    <w:rsid w:val="00564DFB"/>
    <w:rsid w:val="00566E30"/>
    <w:rsid w:val="00570092"/>
    <w:rsid w:val="00573731"/>
    <w:rsid w:val="00573A5C"/>
    <w:rsid w:val="00577EA4"/>
    <w:rsid w:val="005A3849"/>
    <w:rsid w:val="005A4E0D"/>
    <w:rsid w:val="005B202E"/>
    <w:rsid w:val="005B667C"/>
    <w:rsid w:val="005C0104"/>
    <w:rsid w:val="005C07A1"/>
    <w:rsid w:val="005C7947"/>
    <w:rsid w:val="005D0117"/>
    <w:rsid w:val="005D4910"/>
    <w:rsid w:val="005D65C7"/>
    <w:rsid w:val="005D7C14"/>
    <w:rsid w:val="005F5492"/>
    <w:rsid w:val="00624A9C"/>
    <w:rsid w:val="006328E5"/>
    <w:rsid w:val="00657369"/>
    <w:rsid w:val="006657D9"/>
    <w:rsid w:val="00665937"/>
    <w:rsid w:val="00670BE1"/>
    <w:rsid w:val="00691349"/>
    <w:rsid w:val="00693836"/>
    <w:rsid w:val="00693D2C"/>
    <w:rsid w:val="006940A3"/>
    <w:rsid w:val="0069565C"/>
    <w:rsid w:val="006A3CE7"/>
    <w:rsid w:val="006C7C24"/>
    <w:rsid w:val="006C7C47"/>
    <w:rsid w:val="006D4E6A"/>
    <w:rsid w:val="006D6E13"/>
    <w:rsid w:val="006E0342"/>
    <w:rsid w:val="006E0F42"/>
    <w:rsid w:val="006F0A8E"/>
    <w:rsid w:val="00700D9C"/>
    <w:rsid w:val="00707BE0"/>
    <w:rsid w:val="007105CB"/>
    <w:rsid w:val="00716D35"/>
    <w:rsid w:val="00724E2B"/>
    <w:rsid w:val="0074025A"/>
    <w:rsid w:val="00745ACF"/>
    <w:rsid w:val="00746EED"/>
    <w:rsid w:val="00750A8F"/>
    <w:rsid w:val="00753DBB"/>
    <w:rsid w:val="00756E8A"/>
    <w:rsid w:val="007A01B7"/>
    <w:rsid w:val="007A10A7"/>
    <w:rsid w:val="007A2647"/>
    <w:rsid w:val="007A325E"/>
    <w:rsid w:val="007A704E"/>
    <w:rsid w:val="007B286B"/>
    <w:rsid w:val="007B4C00"/>
    <w:rsid w:val="007C4442"/>
    <w:rsid w:val="007C667E"/>
    <w:rsid w:val="007D03CF"/>
    <w:rsid w:val="007E4B2A"/>
    <w:rsid w:val="007F1012"/>
    <w:rsid w:val="007F16C9"/>
    <w:rsid w:val="008076F1"/>
    <w:rsid w:val="008153E7"/>
    <w:rsid w:val="00823864"/>
    <w:rsid w:val="00830D72"/>
    <w:rsid w:val="008428F5"/>
    <w:rsid w:val="00844A1A"/>
    <w:rsid w:val="00850025"/>
    <w:rsid w:val="008511AD"/>
    <w:rsid w:val="008532E1"/>
    <w:rsid w:val="008810F2"/>
    <w:rsid w:val="0088153A"/>
    <w:rsid w:val="00886D55"/>
    <w:rsid w:val="0089472E"/>
    <w:rsid w:val="008A0E2C"/>
    <w:rsid w:val="008A1034"/>
    <w:rsid w:val="008A3B9F"/>
    <w:rsid w:val="008B32DA"/>
    <w:rsid w:val="008D3889"/>
    <w:rsid w:val="008D4C47"/>
    <w:rsid w:val="008E1633"/>
    <w:rsid w:val="008E1860"/>
    <w:rsid w:val="008E7BB4"/>
    <w:rsid w:val="008F4FEA"/>
    <w:rsid w:val="00903FF7"/>
    <w:rsid w:val="00907A55"/>
    <w:rsid w:val="00917E2E"/>
    <w:rsid w:val="00937A36"/>
    <w:rsid w:val="00954924"/>
    <w:rsid w:val="0096445B"/>
    <w:rsid w:val="00976F09"/>
    <w:rsid w:val="0098529E"/>
    <w:rsid w:val="00985ADB"/>
    <w:rsid w:val="00985E83"/>
    <w:rsid w:val="009A33E8"/>
    <w:rsid w:val="009B3DC8"/>
    <w:rsid w:val="009D36CC"/>
    <w:rsid w:val="009F5ECE"/>
    <w:rsid w:val="00A0256E"/>
    <w:rsid w:val="00A15507"/>
    <w:rsid w:val="00A1737C"/>
    <w:rsid w:val="00A278F4"/>
    <w:rsid w:val="00A336BC"/>
    <w:rsid w:val="00A422D9"/>
    <w:rsid w:val="00A45515"/>
    <w:rsid w:val="00A50200"/>
    <w:rsid w:val="00A50D74"/>
    <w:rsid w:val="00A53DBF"/>
    <w:rsid w:val="00A63198"/>
    <w:rsid w:val="00A7249B"/>
    <w:rsid w:val="00A86820"/>
    <w:rsid w:val="00AA6B34"/>
    <w:rsid w:val="00AB2706"/>
    <w:rsid w:val="00AC494B"/>
    <w:rsid w:val="00AC4EC3"/>
    <w:rsid w:val="00AC55C8"/>
    <w:rsid w:val="00AC5A36"/>
    <w:rsid w:val="00AD2A72"/>
    <w:rsid w:val="00AE5FDB"/>
    <w:rsid w:val="00B1471F"/>
    <w:rsid w:val="00B34128"/>
    <w:rsid w:val="00B44444"/>
    <w:rsid w:val="00B533DB"/>
    <w:rsid w:val="00B546D3"/>
    <w:rsid w:val="00B643FF"/>
    <w:rsid w:val="00B72C5C"/>
    <w:rsid w:val="00B80E41"/>
    <w:rsid w:val="00B85CE7"/>
    <w:rsid w:val="00B94E64"/>
    <w:rsid w:val="00BA5395"/>
    <w:rsid w:val="00BB62CF"/>
    <w:rsid w:val="00BC4E37"/>
    <w:rsid w:val="00BC5C5B"/>
    <w:rsid w:val="00BC762B"/>
    <w:rsid w:val="00BD536F"/>
    <w:rsid w:val="00BE6634"/>
    <w:rsid w:val="00BF11DA"/>
    <w:rsid w:val="00BF60B8"/>
    <w:rsid w:val="00C00722"/>
    <w:rsid w:val="00C00D3D"/>
    <w:rsid w:val="00C10E70"/>
    <w:rsid w:val="00C22A5E"/>
    <w:rsid w:val="00C275A5"/>
    <w:rsid w:val="00C37A1E"/>
    <w:rsid w:val="00C51B42"/>
    <w:rsid w:val="00C653CA"/>
    <w:rsid w:val="00C80F7E"/>
    <w:rsid w:val="00C835BD"/>
    <w:rsid w:val="00C9116F"/>
    <w:rsid w:val="00C921A9"/>
    <w:rsid w:val="00CA1B8C"/>
    <w:rsid w:val="00CA4AAD"/>
    <w:rsid w:val="00CD559A"/>
    <w:rsid w:val="00CD6B3F"/>
    <w:rsid w:val="00CE4DEB"/>
    <w:rsid w:val="00CE587A"/>
    <w:rsid w:val="00CF67BB"/>
    <w:rsid w:val="00D15F7F"/>
    <w:rsid w:val="00D21B92"/>
    <w:rsid w:val="00D23480"/>
    <w:rsid w:val="00D27006"/>
    <w:rsid w:val="00D30289"/>
    <w:rsid w:val="00D30679"/>
    <w:rsid w:val="00D329D9"/>
    <w:rsid w:val="00D52952"/>
    <w:rsid w:val="00D53FDA"/>
    <w:rsid w:val="00D54E00"/>
    <w:rsid w:val="00D60FDE"/>
    <w:rsid w:val="00D70096"/>
    <w:rsid w:val="00D7591F"/>
    <w:rsid w:val="00D76802"/>
    <w:rsid w:val="00D87064"/>
    <w:rsid w:val="00D91B31"/>
    <w:rsid w:val="00D96975"/>
    <w:rsid w:val="00DC7CD4"/>
    <w:rsid w:val="00DD1857"/>
    <w:rsid w:val="00DE0895"/>
    <w:rsid w:val="00DE2C3E"/>
    <w:rsid w:val="00DF1183"/>
    <w:rsid w:val="00DF43E0"/>
    <w:rsid w:val="00E0008E"/>
    <w:rsid w:val="00E02C4F"/>
    <w:rsid w:val="00E041CB"/>
    <w:rsid w:val="00E11B67"/>
    <w:rsid w:val="00E32C19"/>
    <w:rsid w:val="00E34CD3"/>
    <w:rsid w:val="00E35BFD"/>
    <w:rsid w:val="00E41AEC"/>
    <w:rsid w:val="00E47C7E"/>
    <w:rsid w:val="00E60AC0"/>
    <w:rsid w:val="00E74DD6"/>
    <w:rsid w:val="00E761DE"/>
    <w:rsid w:val="00E81F77"/>
    <w:rsid w:val="00E940F8"/>
    <w:rsid w:val="00EC2FDD"/>
    <w:rsid w:val="00ED2348"/>
    <w:rsid w:val="00ED59B4"/>
    <w:rsid w:val="00EE185B"/>
    <w:rsid w:val="00EF422A"/>
    <w:rsid w:val="00F0309B"/>
    <w:rsid w:val="00F1108C"/>
    <w:rsid w:val="00F11811"/>
    <w:rsid w:val="00F23F7A"/>
    <w:rsid w:val="00F32A86"/>
    <w:rsid w:val="00F511A1"/>
    <w:rsid w:val="00F54BEE"/>
    <w:rsid w:val="00F67104"/>
    <w:rsid w:val="00F67522"/>
    <w:rsid w:val="00F75B15"/>
    <w:rsid w:val="00FA1CED"/>
    <w:rsid w:val="00FA473C"/>
    <w:rsid w:val="00FA77B8"/>
    <w:rsid w:val="00FB4960"/>
    <w:rsid w:val="00FC581F"/>
    <w:rsid w:val="00FD5732"/>
    <w:rsid w:val="00FE62E5"/>
    <w:rsid w:val="00FF29D9"/>
    <w:rsid w:val="00FF2A97"/>
    <w:rsid w:val="00FF730F"/>
    <w:rsid w:val="05DC7243"/>
    <w:rsid w:val="0B9B5C38"/>
    <w:rsid w:val="0E925A48"/>
    <w:rsid w:val="0FB3D4AE"/>
    <w:rsid w:val="17C501AB"/>
    <w:rsid w:val="17D7433A"/>
    <w:rsid w:val="1FFF2920"/>
    <w:rsid w:val="25FFE3E5"/>
    <w:rsid w:val="2EFDBCB8"/>
    <w:rsid w:val="2FE9A3E1"/>
    <w:rsid w:val="337F5FDC"/>
    <w:rsid w:val="33C12E80"/>
    <w:rsid w:val="34E94258"/>
    <w:rsid w:val="354A5211"/>
    <w:rsid w:val="3BFDD28E"/>
    <w:rsid w:val="3DC053EE"/>
    <w:rsid w:val="3ED7AE7C"/>
    <w:rsid w:val="3F636847"/>
    <w:rsid w:val="436137F8"/>
    <w:rsid w:val="45F617CA"/>
    <w:rsid w:val="46DB7540"/>
    <w:rsid w:val="46F33285"/>
    <w:rsid w:val="49AFFC38"/>
    <w:rsid w:val="4EA86420"/>
    <w:rsid w:val="66FF0E49"/>
    <w:rsid w:val="675806E1"/>
    <w:rsid w:val="675F0C51"/>
    <w:rsid w:val="68A214CD"/>
    <w:rsid w:val="6F569CF0"/>
    <w:rsid w:val="6FFFA0F9"/>
    <w:rsid w:val="6FFFD4B9"/>
    <w:rsid w:val="726854E5"/>
    <w:rsid w:val="72DDA423"/>
    <w:rsid w:val="79FE73D9"/>
    <w:rsid w:val="7BBF1112"/>
    <w:rsid w:val="7C7A56B3"/>
    <w:rsid w:val="7D7FBE7C"/>
    <w:rsid w:val="7DFDE8AB"/>
    <w:rsid w:val="7DFE2DBF"/>
    <w:rsid w:val="7E55A643"/>
    <w:rsid w:val="7E61F5A4"/>
    <w:rsid w:val="7E794627"/>
    <w:rsid w:val="7EB730EA"/>
    <w:rsid w:val="7ED778D7"/>
    <w:rsid w:val="7F5E4AFC"/>
    <w:rsid w:val="7F7E9C2C"/>
    <w:rsid w:val="7FFF5D30"/>
    <w:rsid w:val="A1EBD04A"/>
    <w:rsid w:val="AF756833"/>
    <w:rsid w:val="AFBF888F"/>
    <w:rsid w:val="B79F3C57"/>
    <w:rsid w:val="B7DEEB44"/>
    <w:rsid w:val="BBB0D0AF"/>
    <w:rsid w:val="BEEF2E4D"/>
    <w:rsid w:val="BF31BEC6"/>
    <w:rsid w:val="BFBF2CF9"/>
    <w:rsid w:val="BFDBE715"/>
    <w:rsid w:val="C7FD908C"/>
    <w:rsid w:val="CDBE807D"/>
    <w:rsid w:val="D1F35E0D"/>
    <w:rsid w:val="D37F3CD2"/>
    <w:rsid w:val="DB5F9707"/>
    <w:rsid w:val="DFB39117"/>
    <w:rsid w:val="DFB6FAFD"/>
    <w:rsid w:val="E1D5371A"/>
    <w:rsid w:val="E7F2FD31"/>
    <w:rsid w:val="F7BA1F23"/>
    <w:rsid w:val="F95B2CBE"/>
    <w:rsid w:val="FAF71300"/>
    <w:rsid w:val="FAFFBC50"/>
    <w:rsid w:val="FBBFE7BE"/>
    <w:rsid w:val="FD77C157"/>
    <w:rsid w:val="FDBB4D89"/>
    <w:rsid w:val="FDDFF0D4"/>
    <w:rsid w:val="FF7F1C77"/>
    <w:rsid w:val="FFB6CECF"/>
    <w:rsid w:val="FFC75FFB"/>
    <w:rsid w:val="FFDD44DE"/>
    <w:rsid w:val="FFF8DC5D"/>
    <w:rsid w:val="FFFD31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ody Text Indent"/>
    <w:basedOn w:val="1"/>
    <w:qFormat/>
    <w:uiPriority w:val="0"/>
    <w:pPr>
      <w:ind w:firstLine="705"/>
    </w:pPr>
    <w:rPr>
      <w:sz w:val="28"/>
    </w:rPr>
  </w:style>
  <w:style w:type="paragraph" w:styleId="5">
    <w:name w:val="Plain Text"/>
    <w:basedOn w:val="1"/>
    <w:qFormat/>
    <w:uiPriority w:val="0"/>
    <w:rPr>
      <w:rFonts w:ascii="宋体" w:hAnsi="Courier New" w:cs="Courier New"/>
      <w:szCs w:val="21"/>
    </w:rPr>
  </w:style>
  <w:style w:type="paragraph" w:styleId="6">
    <w:name w:val="Date"/>
    <w:basedOn w:val="1"/>
    <w:next w:val="1"/>
    <w:link w:val="15"/>
    <w:qFormat/>
    <w:uiPriority w:val="0"/>
    <w:pPr>
      <w:ind w:left="100" w:leftChars="2500"/>
    </w:pPr>
    <w:rPr>
      <w:rFonts w:eastAsia="仿宋_GB2312"/>
      <w:sz w:val="32"/>
    </w:rPr>
  </w:style>
  <w:style w:type="paragraph" w:styleId="7">
    <w:name w:val="Body Text Indent 2"/>
    <w:basedOn w:val="1"/>
    <w:qFormat/>
    <w:uiPriority w:val="0"/>
    <w:pPr>
      <w:spacing w:line="580" w:lineRule="exact"/>
      <w:ind w:firstLine="640" w:firstLineChars="200"/>
    </w:pPr>
    <w:rPr>
      <w:rFonts w:ascii="仿宋_GB2312" w:eastAsia="仿宋_GB2312"/>
      <w:sz w:val="32"/>
    </w:rPr>
  </w:style>
  <w:style w:type="paragraph" w:styleId="8">
    <w:name w:val="Balloon Text"/>
    <w:basedOn w:val="1"/>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1 Char"/>
    <w:link w:val="2"/>
    <w:qFormat/>
    <w:uiPriority w:val="9"/>
    <w:rPr>
      <w:rFonts w:ascii="Cambria" w:hAnsi="Cambria"/>
      <w:b/>
      <w:bCs/>
      <w:color w:val="365F91"/>
      <w:sz w:val="28"/>
      <w:szCs w:val="28"/>
    </w:rPr>
  </w:style>
  <w:style w:type="character" w:customStyle="1" w:styleId="15">
    <w:name w:val="日期 Char"/>
    <w:basedOn w:val="12"/>
    <w:link w:val="6"/>
    <w:qFormat/>
    <w:uiPriority w:val="0"/>
    <w:rPr>
      <w:rFonts w:ascii="Calibri" w:hAnsi="Calibri" w:eastAsia="仿宋_GB2312" w:cs="Times New Roman"/>
      <w:sz w:val="32"/>
    </w:rPr>
  </w:style>
  <w:style w:type="character" w:customStyle="1" w:styleId="16">
    <w:name w:val="页脚 Char"/>
    <w:link w:val="9"/>
    <w:qFormat/>
    <w:uiPriority w:val="99"/>
    <w:rPr>
      <w:kern w:val="2"/>
      <w:sz w:val="18"/>
      <w:szCs w:val="18"/>
    </w:rPr>
  </w:style>
  <w:style w:type="character" w:customStyle="1" w:styleId="17">
    <w:name w:val="页眉 Char"/>
    <w:link w:val="10"/>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suplis</Company>
  <Pages>1</Pages>
  <Words>2</Words>
  <Characters>12</Characters>
  <Lines>1</Lines>
  <Paragraphs>1</Paragraphs>
  <TotalTime>0</TotalTime>
  <ScaleCrop>false</ScaleCrop>
  <LinksUpToDate>false</LinksUpToDate>
  <CharactersWithSpaces>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2017-03-20T18:56:00Z</dcterms:created>
  <dc:creator>wangxianm</dc:creator>
  <cp:lastModifiedBy>pengfen</cp:lastModifiedBy>
  <cp:lastPrinted>2024-08-20T03:54:00Z</cp:lastPrinted>
  <dcterms:modified xsi:type="dcterms:W3CDTF">2025-01-13T17:23:08Z</dcterms:modified>
  <dc:title> 关于广东省公安边防总队第七支队严重违反城市规划，擅自兴建三栋住宅楼有关情况的函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80B7C5DFE87F29BCFBD8846739AA1DC5</vt:lpwstr>
  </property>
</Properties>
</file>