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579755</wp:posOffset>
            </wp:positionH>
            <wp:positionV relativeFrom="page">
              <wp:posOffset>12065</wp:posOffset>
            </wp:positionV>
            <wp:extent cx="6400800" cy="2030095"/>
            <wp:effectExtent l="0" t="0" r="0" b="8255"/>
            <wp:wrapNone/>
            <wp:docPr id="3" name="图片 2" descr="E:\G_Drive\QQFILE\住建局\【办公室】深圳市福田区住房和建设局便笺头.jpg【办公室】深圳市福田区住房和建设局便笺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E:\G_Drive\QQFILE\住建局\【办公室】深圳市福田区住房和建设局便笺头.jpg【办公室】深圳市福田区住房和建设局便笺头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720090" y="19050"/>
                      <a:ext cx="6400800" cy="203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center"/>
        <w:rPr>
          <w:rFonts w:hint="eastAsia" w:asciiTheme="minorHAnsi" w:hAnsiTheme="minorHAnsi" w:eastAsiaTheme="minorEastAsia" w:cstheme="minorBidi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align>center</wp:align>
            </wp:positionH>
            <wp:positionV relativeFrom="page">
              <wp:align>bottom</wp:align>
            </wp:positionV>
            <wp:extent cx="6248400" cy="904875"/>
            <wp:effectExtent l="0" t="0" r="0" b="9525"/>
            <wp:wrapNone/>
            <wp:docPr id="5" name="图片 4" descr="E:\G_Drive\QQFILE\住建局\【办公室】深圳市福田区住房和建设局便笺头（下划线）.jpg【办公室】深圳市福田区住房和建设局便笺头（下划线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E:\G_Drive\QQFILE\住建局\【办公室】深圳市福田区住房和建设局便笺头（下划线）.jpg【办公室】深圳市福田区住房和建设局便笺头（下划线）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709295" y="9756140"/>
                      <a:ext cx="62484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深福建函〔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84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  <w:t>深圳市福田区住房和建设局对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  <w:t>福田区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  <w:t>第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val="en-US" w:eastAsia="zh-CN"/>
        </w:rPr>
        <w:t>八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  <w:t>届人民代表大会第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val="en-US" w:eastAsia="zh-CN"/>
        </w:rPr>
        <w:t>四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  <w:t>次会议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val="en-US" w:eastAsia="zh-CN"/>
        </w:rPr>
        <w:t>第20240004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  <w:t>号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  <w:t>建议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  <w:t>的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  <w:t>答复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尊敬的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陈常兵代表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深圳市福田区第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届人民代表大会第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次会议代表第20240004号《关于加大福田区老旧小区改造力度的建议》已收悉。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经认真研究，现将办理意见回复如下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40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我局高度赞同“建议福田区进一步持续加大老旧小区改造投入的力度，进一步改善老旧小区的消防设施、外立面防水、外观翻新、小区道路、车库改造以及儿童友好设施等”的建议。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截至2024年5月底，我区共开展98个综合性老旧小区改造项目（含环境综合整治），已</w:t>
      </w:r>
      <w:r>
        <w:rPr>
          <w:rFonts w:hint="eastAsia" w:ascii="仿宋_GB2312" w:hAnsi="仿宋_GB2312" w:eastAsia="仿宋_GB2312" w:cs="仿宋_GB2312"/>
          <w:kern w:val="2"/>
          <w:sz w:val="32"/>
          <w:szCs w:val="40"/>
          <w:highlight w:val="none"/>
          <w:lang w:val="en-US" w:eastAsia="zh-CN" w:bidi="ar-SA"/>
        </w:rPr>
        <w:t>完成了54个老旧小区项目，正在推动44个老旧小区实施，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老旧小区改造工作进展全市领先。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为做好老旧小区改造改造，我局多措并举，持续加大力度。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一是做好顶层设计。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聚焦安全隐患、一老一小、闲置活化空间、停车难题等重点工作出台《福田区2023-2025年城镇老旧小区改造实施方案》，创新提出“策划先行”、“量化排序”、“方案联审”等工作方法，明确老旧小区改造方向。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二是多元筹措资金。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探索在老旧小区改造中形成“政府—企业—居民”三方资金共担的机制。长城二花园小区政府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投资约1500万元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用于基础类改造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居民出资约950万元持续更新地面、消防、电梯等设施，引入社会投资845万元兴建立体车库，合力投资约57万建设长者食堂；益田村小区政府投资约6500万元开展基础类改造工程及儿童友好公园建设，居民投资约6000万元加装电梯及更换电梯，企业投资约800万元开展颐康之家升级、长者食堂建设等工作。两个小区社会投资和居民出资占比超50%。成功争取8784.02万元中央财政补助资金，申报1.26亿元专项债用于老旧小区改造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三是发挥党建引领。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充分发挥党建优势，将党支部建到小区里，把党员引入老旧小区改造中，</w:t>
      </w:r>
      <w:r>
        <w:rPr>
          <w:rFonts w:hint="eastAsia" w:ascii="仿宋_GB2312" w:hAnsi="仿宋_GB2312" w:eastAsia="仿宋_GB2312" w:cs="仿宋_GB2312"/>
          <w:sz w:val="32"/>
          <w:szCs w:val="32"/>
        </w:rPr>
        <w:t>定期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组织</w:t>
      </w:r>
      <w:r>
        <w:rPr>
          <w:rFonts w:hint="eastAsia" w:ascii="仿宋_GB2312" w:hAnsi="仿宋_GB2312" w:eastAsia="仿宋_GB2312" w:cs="仿宋_GB2312"/>
          <w:sz w:val="32"/>
          <w:szCs w:val="32"/>
        </w:rPr>
        <w:t>业委会、物业、居民代表召开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老旧小区改造</w:t>
      </w:r>
      <w:r>
        <w:rPr>
          <w:rFonts w:hint="eastAsia" w:ascii="仿宋_GB2312" w:hAnsi="仿宋_GB2312" w:eastAsia="仿宋_GB2312" w:cs="仿宋_GB2312"/>
          <w:sz w:val="32"/>
          <w:szCs w:val="32"/>
        </w:rPr>
        <w:t>联席会议，搭建公共事务协商议事平台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在改造需求、策划方案、意愿征集、施工监督、工程验收、满意度调查等全过程邀请居民参与老旧小区改造。通过引导居民全程参与建设，增强居民对小区的认同感、归属感，实现共建共享。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四是开展比学赶超。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邀请人大代表、行业专家对已完工的老旧小区开展评比排序，选出典型小区，以点带面发挥示范效应。长城二花园小区被选为“2022年住建部城镇老旧小区改造联系点”，并入选部级期刊《城乡建设》作为典型案例面向全国推广。益田村小区入选“2023年住建部城镇老旧小区改造联系点”、“住建部完整社区建设试点”，成为深圳唯一双部级示范点。</w:t>
      </w:r>
    </w:p>
    <w:p>
      <w:pPr>
        <w:keepNext w:val="0"/>
        <w:keepLines w:val="0"/>
        <w:widowControl/>
        <w:snapToGrid w:val="0"/>
        <w:spacing w:line="579" w:lineRule="exact"/>
        <w:ind w:firstLine="640" w:firstLineChars="200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，福田区按照“成熟一批、实施一批”的思路分批推进42个老旧小区改造，目前23个小区已取得概算批复，正开展招投标工作，其余19个小区正开展项目立项、方案设计等项目前期工作；计划2024年底前推动不少于40个老旧小区开工，完成不少于22个老旧小区竣工。</w:t>
      </w:r>
    </w:p>
    <w:p>
      <w:pPr>
        <w:widowControl/>
        <w:ind w:firstLine="640" w:firstLineChars="200"/>
        <w:jc w:val="both"/>
        <w:rPr>
          <w:rFonts w:hint="eastAsia" w:ascii="宋体" w:hAnsi="宋体" w:eastAsia="宋体" w:cs="Times New Roman"/>
          <w:sz w:val="28"/>
          <w:szCs w:val="24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再次感谢您对</w:t>
      </w:r>
      <w:r>
        <w:rPr>
          <w:rFonts w:hint="eastAsia" w:ascii="仿宋_GB2312" w:hAnsi="仿宋_GB2312" w:eastAsia="仿宋_GB2312" w:cs="仿宋_GB2312"/>
          <w:sz w:val="32"/>
          <w:szCs w:val="32"/>
        </w:rPr>
        <w:t>福田区老旧小区改造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工作的关心!</w:t>
      </w:r>
    </w:p>
    <w:p>
      <w:pPr>
        <w:pStyle w:val="3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579" w:lineRule="exact"/>
        <w:ind w:left="0" w:leftChars="0" w:right="0" w:rightChars="0" w:firstLine="560" w:firstLineChars="200"/>
        <w:jc w:val="right"/>
        <w:textAlignment w:val="auto"/>
        <w:outlineLvl w:val="9"/>
        <w:rPr>
          <w:rFonts w:hint="eastAsia" w:ascii="宋体" w:hAnsi="宋体" w:eastAsia="宋体" w:cs="Times New Roman"/>
          <w:sz w:val="28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579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深圳市</w:t>
      </w:r>
      <w:r>
        <w:rPr>
          <w:rFonts w:hint="eastAsia" w:ascii="仿宋_GB2312" w:hAnsi="仿宋_GB2312" w:eastAsia="仿宋_GB2312" w:cs="仿宋_GB2312"/>
          <w:sz w:val="32"/>
          <w:szCs w:val="32"/>
        </w:rPr>
        <w:t>福田区住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房和</w:t>
      </w:r>
      <w:r>
        <w:rPr>
          <w:rFonts w:hint="eastAsia" w:ascii="仿宋_GB2312" w:hAnsi="仿宋_GB2312" w:eastAsia="仿宋_GB2312" w:cs="仿宋_GB2312"/>
          <w:sz w:val="32"/>
          <w:szCs w:val="32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设</w:t>
      </w:r>
      <w:r>
        <w:rPr>
          <w:rFonts w:hint="eastAsia" w:ascii="仿宋_GB2312" w:hAnsi="仿宋_GB2312" w:eastAsia="仿宋_GB2312" w:cs="仿宋_GB2312"/>
          <w:sz w:val="32"/>
          <w:szCs w:val="32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579" w:lineRule="exact"/>
        <w:ind w:left="0" w:leftChars="0" w:right="0" w:rightChars="0" w:firstLine="64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ind w:left="0" w:leftChars="0" w:right="0" w:rightChars="0" w:firstLine="64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napToGrid w:val="0"/>
        <w:spacing w:line="579" w:lineRule="exact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napToGrid w:val="0"/>
        <w:spacing w:line="579" w:lineRule="exact"/>
        <w:ind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napToGrid w:val="0"/>
        <w:spacing w:line="579" w:lineRule="exact"/>
        <w:ind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napToGrid w:val="0"/>
        <w:spacing w:line="579" w:lineRule="exact"/>
        <w:ind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napToGrid w:val="0"/>
        <w:spacing w:line="579" w:lineRule="exact"/>
        <w:ind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napToGrid w:val="0"/>
        <w:spacing w:line="579" w:lineRule="exact"/>
        <w:ind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579" w:lineRule="exact"/>
        <w:jc w:val="left"/>
        <w:rPr>
          <w:rFonts w:hint="eastAsia" w:ascii="黑体" w:hAnsi="黑体" w:eastAsia="黑体" w:cs="黑体"/>
          <w:b w:val="0"/>
          <w:bCs/>
          <w:kern w:val="2"/>
          <w:sz w:val="32"/>
          <w:szCs w:val="32"/>
          <w:highlight w:val="none"/>
          <w:lang w:val="en-US" w:eastAsia="zh-CN" w:bidi="ar-SA"/>
        </w:rPr>
      </w:pPr>
    </w:p>
    <w:p>
      <w:pPr>
        <w:adjustRightInd w:val="0"/>
        <w:snapToGrid w:val="0"/>
        <w:spacing w:line="579" w:lineRule="exact"/>
        <w:jc w:val="left"/>
        <w:rPr>
          <w:rFonts w:hint="eastAsia" w:ascii="黑体" w:hAnsi="黑体" w:eastAsia="黑体" w:cs="黑体"/>
          <w:b w:val="0"/>
          <w:bCs/>
          <w:kern w:val="2"/>
          <w:sz w:val="32"/>
          <w:szCs w:val="32"/>
          <w:highlight w:val="none"/>
          <w:lang w:val="en-US" w:eastAsia="zh-CN" w:bidi="ar-SA"/>
        </w:rPr>
      </w:pPr>
    </w:p>
    <w:p>
      <w:pPr>
        <w:adjustRightInd w:val="0"/>
        <w:snapToGrid w:val="0"/>
        <w:spacing w:line="579" w:lineRule="exact"/>
        <w:jc w:val="left"/>
        <w:rPr>
          <w:rFonts w:hint="eastAsia" w:ascii="黑体" w:hAnsi="黑体" w:eastAsia="黑体" w:cs="黑体"/>
          <w:b w:val="0"/>
          <w:bCs/>
          <w:kern w:val="2"/>
          <w:sz w:val="32"/>
          <w:szCs w:val="32"/>
          <w:highlight w:val="none"/>
          <w:lang w:val="en-US" w:eastAsia="zh-CN" w:bidi="ar-SA"/>
        </w:rPr>
      </w:pPr>
    </w:p>
    <w:p>
      <w:pPr>
        <w:adjustRightInd w:val="0"/>
        <w:snapToGrid w:val="0"/>
        <w:spacing w:line="579" w:lineRule="exact"/>
        <w:jc w:val="left"/>
        <w:rPr>
          <w:rFonts w:hint="eastAsia"/>
        </w:rPr>
      </w:pPr>
      <w:bookmarkStart w:id="0" w:name="_GoBack"/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highlight w:val="none"/>
          <w:lang w:val="en-US" w:eastAsia="zh-CN" w:bidi="ar-SA"/>
        </w:rPr>
        <w:t>公开方式：</w:t>
      </w: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highlight w:val="none"/>
          <w:lang w:val="en-US" w:eastAsia="zh-CN" w:bidi="ar-SA"/>
        </w:rPr>
        <w:t>主动公开</w:t>
      </w:r>
    </w:p>
    <w:bookmarkEnd w:id="0"/>
    <w:sectPr>
      <w:headerReference r:id="rId3" w:type="default"/>
      <w:footerReference r:id="rId4" w:type="default"/>
      <w:pgSz w:w="11906" w:h="16838"/>
      <w:pgMar w:top="2098" w:right="1474" w:bottom="1984" w:left="1587" w:header="851" w:footer="1361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ascii="Times New Roman" w:hAnsi="Times New Roman" w:eastAsia="宋体" w:cs="Times New Roman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ascii="Times New Roman" w:hAnsi="Times New Roman" w:eastAsia="宋体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FB90B5"/>
    <w:rsid w:val="2DD7194F"/>
    <w:rsid w:val="5AFA4E98"/>
    <w:rsid w:val="5FF831A3"/>
    <w:rsid w:val="75F73B33"/>
    <w:rsid w:val="7B09C3FC"/>
    <w:rsid w:val="7DFB90B5"/>
    <w:rsid w:val="7F7FD755"/>
    <w:rsid w:val="86FEB2AD"/>
    <w:rsid w:val="987F6225"/>
    <w:rsid w:val="B7674AC1"/>
    <w:rsid w:val="BB92C952"/>
    <w:rsid w:val="BDF319D6"/>
    <w:rsid w:val="DFBF4979"/>
    <w:rsid w:val="EEF3D28A"/>
    <w:rsid w:val="EF7A21A9"/>
    <w:rsid w:val="F3AC9691"/>
    <w:rsid w:val="F7FA271E"/>
    <w:rsid w:val="F7FE2E4F"/>
    <w:rsid w:val="FAAB3F3B"/>
    <w:rsid w:val="FFED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widowControl w:val="0"/>
      <w:spacing w:line="576" w:lineRule="auto"/>
      <w:jc w:val="both"/>
      <w:outlineLvl w:val="0"/>
    </w:pPr>
    <w:rPr>
      <w:rFonts w:ascii="Calibri" w:hAnsi="Calibri" w:eastAsia="宋体" w:cs="Times New Roman"/>
      <w:b/>
      <w:kern w:val="44"/>
      <w:sz w:val="44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next w:val="1"/>
    <w:qFormat/>
    <w:uiPriority w:val="0"/>
    <w:pPr>
      <w:widowControl w:val="0"/>
      <w:jc w:val="center"/>
    </w:pPr>
    <w:rPr>
      <w:rFonts w:ascii="宋体" w:hAnsi="宋体" w:eastAsia="宋体" w:cs="Times New Roman"/>
      <w:kern w:val="2"/>
      <w:sz w:val="28"/>
      <w:szCs w:val="24"/>
      <w:lang w:val="en-GB" w:eastAsia="zh-CN" w:bidi="ar-SA"/>
    </w:rPr>
  </w:style>
  <w:style w:type="paragraph" w:styleId="4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5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2024-06-02T01:59:00Z</dcterms:created>
  <dc:creator>叶晓文</dc:creator>
  <cp:lastModifiedBy>任蓓</cp:lastModifiedBy>
  <dcterms:modified xsi:type="dcterms:W3CDTF">2025-01-15T11:21:08Z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ICV">
    <vt:lpwstr>8EBA61704E8EB6FF9DFC5666B77A89DF</vt:lpwstr>
  </property>
</Properties>
</file>