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9" w:lineRule="exact"/>
        <w:rPr>
          <w:sz w:val="32"/>
          <w:szCs w:val="32"/>
        </w:rPr>
      </w:pPr>
    </w:p>
    <w:p>
      <w:pPr>
        <w:adjustRightInd w:val="0"/>
        <w:snapToGrid w:val="0"/>
        <w:spacing w:line="579" w:lineRule="exact"/>
        <w:jc w:val="center"/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6400800" cy="2030095"/>
            <wp:effectExtent l="0" t="0" r="0" b="8255"/>
            <wp:wrapNone/>
            <wp:docPr id="3" name="图片 2" descr="E:\G_Drive\QQFILE\住建局\【办公室】深圳市福田区住房和建设局便笺头.jpg【办公室】深圳市福田区住房和建设局便笺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G_Drive\QQFILE\住建局\【办公室】深圳市福田区住房和建设局便笺头.jpg【办公室】深圳市福田区住房和建设局便笺头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720090" y="19050"/>
                      <a:ext cx="640080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HAnsi" w:eastAsia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深福建函〔2024〕81号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届人民代表大会第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次会议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第20240035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王贤君代表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次会议代表第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20240035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号《关于推进“三无小区”修缮维护，助力建设首善环境的建议》已收悉。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adjustRightInd w:val="0"/>
        <w:snapToGrid w:val="0"/>
        <w:spacing w:line="579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655955</wp:posOffset>
            </wp:positionH>
            <wp:positionV relativeFrom="page">
              <wp:posOffset>9493250</wp:posOffset>
            </wp:positionV>
            <wp:extent cx="6248400" cy="904875"/>
            <wp:effectExtent l="0" t="0" r="0" b="9525"/>
            <wp:wrapNone/>
            <wp:docPr id="5" name="图片 4" descr="E:\G_Drive\QQFILE\住建局\【办公室】深圳市福田区住房和建设局便笺头（下划线）.jpg【办公室】深圳市福田区住房和建设局便笺头（下划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:\G_Drive\QQFILE\住建局\【办公室】深圳市福田区住房和建设局便笺头（下划线）.jpg【办公室】深圳市福田区住房和建设局便笺头（下划线）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709295" y="9756140"/>
                      <a:ext cx="6248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关于对“三无小区”进行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修缮维护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的建议。区住房建设局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通过2021年开始推进的“三无小区”纳管改造行动，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已实现辖区26个“三无小区”</w:t>
      </w:r>
      <w:r>
        <w:rPr>
          <w:rFonts w:hint="default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100%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纳管，改造100%覆盖，改造总金额1382.18万，消除安全隐患约130处，主要改造内容为更换消防设备、新增门禁监控、环境提升等；</w:t>
      </w:r>
      <w:r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二是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根据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“三无小区”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动态变化情况，通过动态调整“三无小区”清单、定期巡查检查、督促街道办、物业服务企业（物业城市运营商）查漏补缺等方式，对“三无小区”实行常态化纳管；</w:t>
      </w:r>
      <w:r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三是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在“三无小区”纳管实践经验上，将“三无小区”纳入老旧小区“文明美好家园”创建行动，充分发挥“物业城市”运营商的专业化力量及资源整合优势，通过探索相应的奖励测评机制，实现辖区“三无小区”以及</w:t>
      </w:r>
      <w:r>
        <w:rPr>
          <w:rFonts w:hint="default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428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个老旧小区的居住品质、安全管理及文明和谐程度的明显提升。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再次感谢您对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“三无小区”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工作的关心!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765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1045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highlight w:val="none"/>
          <w:lang w:val="en-US" w:eastAsia="zh-CN" w:bidi="ar-SA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B899C"/>
    <w:rsid w:val="1FEB2598"/>
    <w:rsid w:val="49DC28D7"/>
    <w:rsid w:val="5FEB899C"/>
    <w:rsid w:val="7579542B"/>
    <w:rsid w:val="77B93267"/>
    <w:rsid w:val="7ECE31A8"/>
    <w:rsid w:val="7EF7B751"/>
    <w:rsid w:val="97BCE29C"/>
    <w:rsid w:val="99CF6558"/>
    <w:rsid w:val="C7BBDA7E"/>
    <w:rsid w:val="EE7BD8B1"/>
    <w:rsid w:val="EEBF8069"/>
    <w:rsid w:val="F4FFEEE3"/>
    <w:rsid w:val="FEE3CD78"/>
    <w:rsid w:val="FFFC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2024-05-28T18:15:00Z</dcterms:created>
  <dc:creator>刘鹏</dc:creator>
  <cp:lastModifiedBy>任蓓</cp:lastModifiedBy>
  <dcterms:modified xsi:type="dcterms:W3CDTF">2025-01-10T12:19:07Z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4AC6E338E3E7152DD7EC536658228CAB</vt:lpwstr>
  </property>
</Properties>
</file>