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C9D31">
      <w:pPr>
        <w:keepNext w:val="0"/>
        <w:keepLines w:val="0"/>
        <w:widowControl/>
        <w:suppressLineNumbers w:val="0"/>
        <w:jc w:val="center"/>
        <w:rPr>
          <w:rFonts w:hint="default" w:ascii="宋体" w:hAnsi="宋体" w:cs="宋体"/>
          <w:b/>
          <w:sz w:val="44"/>
          <w:szCs w:val="44"/>
          <w:lang w:val="en-US" w:eastAsia="zh-CN"/>
        </w:rPr>
      </w:pPr>
      <w:r>
        <w:rPr>
          <w:rFonts w:hint="eastAsia" w:ascii="宋体" w:hAnsi="宋体" w:cs="宋体"/>
          <w:b/>
          <w:sz w:val="44"/>
          <w:szCs w:val="44"/>
          <w:lang w:eastAsia="zh-CN"/>
        </w:rPr>
        <w:t>深圳市福田区政务服务数据管理局</w:t>
      </w:r>
      <w:r>
        <w:rPr>
          <w:rFonts w:hint="default" w:ascii="宋体" w:hAnsi="宋体" w:cs="宋体"/>
          <w:b/>
          <w:sz w:val="44"/>
          <w:szCs w:val="44"/>
          <w:lang w:val="en-US" w:eastAsia="zh-CN"/>
        </w:rPr>
        <w:t>202</w:t>
      </w:r>
      <w:r>
        <w:rPr>
          <w:rFonts w:hint="eastAsia" w:ascii="宋体" w:hAnsi="宋体" w:cs="宋体"/>
          <w:b/>
          <w:sz w:val="44"/>
          <w:szCs w:val="44"/>
          <w:lang w:val="en-US" w:eastAsia="zh-CN"/>
        </w:rPr>
        <w:t>2</w:t>
      </w:r>
      <w:r>
        <w:rPr>
          <w:rFonts w:hint="default" w:ascii="宋体" w:hAnsi="宋体" w:cs="宋体"/>
          <w:b/>
          <w:sz w:val="44"/>
          <w:szCs w:val="44"/>
          <w:lang w:val="en-US" w:eastAsia="zh-CN"/>
        </w:rPr>
        <w:t>年财政拨款“三公”经费支出</w:t>
      </w:r>
    </w:p>
    <w:p w14:paraId="7E4AA775">
      <w:pPr>
        <w:keepNext w:val="0"/>
        <w:keepLines w:val="0"/>
        <w:widowControl/>
        <w:suppressLineNumbers w:val="0"/>
        <w:jc w:val="center"/>
        <w:rPr>
          <w:rFonts w:hint="default" w:ascii="宋体" w:hAnsi="宋体" w:cs="宋体"/>
          <w:b/>
          <w:sz w:val="44"/>
          <w:szCs w:val="44"/>
          <w:lang w:val="en-US" w:eastAsia="zh-CN"/>
        </w:rPr>
      </w:pPr>
      <w:r>
        <w:rPr>
          <w:rFonts w:hint="default" w:ascii="宋体" w:hAnsi="宋体" w:cs="宋体"/>
          <w:b/>
          <w:sz w:val="44"/>
          <w:szCs w:val="44"/>
          <w:lang w:val="en-US" w:eastAsia="zh-CN"/>
        </w:rPr>
        <w:t>决算情况</w:t>
      </w:r>
    </w:p>
    <w:p w14:paraId="398FABD4">
      <w:pPr>
        <w:keepNext w:val="0"/>
        <w:keepLines w:val="0"/>
        <w:widowControl/>
        <w:suppressLineNumbers w:val="0"/>
        <w:jc w:val="center"/>
        <w:rPr>
          <w:rFonts w:hint="default" w:ascii="宋体" w:hAnsi="宋体" w:cs="宋体"/>
          <w:b/>
          <w:sz w:val="44"/>
          <w:szCs w:val="44"/>
          <w:lang w:val="en-US" w:eastAsia="zh-CN"/>
        </w:rPr>
      </w:pPr>
    </w:p>
    <w:p w14:paraId="743726A0">
      <w:pPr>
        <w:pStyle w:val="2"/>
        <w:rPr>
          <w:rFonts w:hint="default" w:ascii="宋体" w:hAnsi="宋体" w:cs="宋体"/>
          <w:b/>
          <w:sz w:val="44"/>
          <w:szCs w:val="44"/>
          <w:lang w:val="en-US" w:eastAsia="zh-CN"/>
        </w:rPr>
      </w:pPr>
    </w:p>
    <w:p w14:paraId="57BC9506">
      <w:pPr>
        <w:keepNext w:val="0"/>
        <w:keepLines w:val="0"/>
        <w:widowControl/>
        <w:suppressLineNumbers w:val="0"/>
        <w:ind w:firstLine="643" w:firstLineChars="200"/>
        <w:jc w:val="left"/>
      </w:pPr>
      <w:r>
        <w:rPr>
          <w:rFonts w:hint="eastAsia" w:ascii="仿宋_GB2312" w:hAnsi="宋体" w:eastAsia="仿宋_GB2312" w:cs="宋体"/>
          <w:b/>
          <w:sz w:val="32"/>
          <w:szCs w:val="32"/>
          <w:lang w:val="en-US" w:eastAsia="zh-CN"/>
        </w:rPr>
        <w:t xml:space="preserve">一、“三公”经费的单位范围 </w:t>
      </w:r>
    </w:p>
    <w:p w14:paraId="0EBC1390">
      <w:pPr>
        <w:ind w:firstLine="600" w:firstLineChars="200"/>
        <w:rPr>
          <w:rFonts w:hint="eastAsia" w:ascii="仿宋_GB2312" w:hAnsi="宋体" w:eastAsia="仿宋_GB2312" w:cs="宋体"/>
          <w:sz w:val="32"/>
          <w:szCs w:val="32"/>
        </w:rPr>
      </w:pPr>
      <w:r>
        <w:rPr>
          <w:rFonts w:hint="eastAsia" w:ascii="仿宋" w:hAnsi="仿宋" w:eastAsia="仿宋" w:cs="仿宋"/>
          <w:sz w:val="30"/>
          <w:szCs w:val="30"/>
          <w:lang w:val="en-US" w:eastAsia="zh-CN"/>
        </w:rPr>
        <w:t>深圳市福田区政务服务数据管理局因公出国（境） 费用、公务接待费、公务用车购置和运行维护费开支单位包括本单位。</w:t>
      </w:r>
    </w:p>
    <w:p w14:paraId="7FD4777E">
      <w:pPr>
        <w:keepNext w:val="0"/>
        <w:keepLines w:val="0"/>
        <w:widowControl/>
        <w:suppressLineNumbers w:val="0"/>
        <w:ind w:firstLine="643" w:firstLineChars="200"/>
        <w:jc w:val="left"/>
        <w:rPr>
          <w:rFonts w:hint="default"/>
          <w:lang w:val="en-US" w:eastAsia="zh-CN"/>
        </w:rPr>
      </w:pPr>
      <w:r>
        <w:rPr>
          <w:rFonts w:hint="eastAsia" w:ascii="仿宋_GB2312" w:hAnsi="宋体" w:eastAsia="仿宋_GB2312" w:cs="宋体"/>
          <w:b/>
          <w:sz w:val="32"/>
          <w:szCs w:val="32"/>
          <w:lang w:val="en-US" w:eastAsia="zh-CN"/>
        </w:rPr>
        <w:t>二 、财政拨款“三公”经费支出决算情况说明</w:t>
      </w:r>
    </w:p>
    <w:p w14:paraId="13E94F60">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ascii="仿宋" w:hAnsi="仿宋" w:eastAsia="仿宋" w:cs="仿宋"/>
          <w:color w:val="000000"/>
          <w:kern w:val="0"/>
          <w:sz w:val="30"/>
          <w:szCs w:val="30"/>
          <w:lang w:val="en-US" w:eastAsia="zh-CN" w:bidi="ar"/>
        </w:rPr>
      </w:pPr>
      <w:r>
        <w:rPr>
          <w:rFonts w:ascii="仿宋" w:hAnsi="仿宋" w:eastAsia="仿宋" w:cs="仿宋"/>
          <w:color w:val="000000"/>
          <w:kern w:val="0"/>
          <w:sz w:val="30"/>
          <w:szCs w:val="30"/>
          <w:lang w:val="en-US" w:eastAsia="zh-CN" w:bidi="ar"/>
        </w:rPr>
        <w:t xml:space="preserve">（一）“三公”经费财政拨款支出决算总体情况说明 </w:t>
      </w:r>
    </w:p>
    <w:p w14:paraId="469420DF">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ascii="仿宋" w:hAnsi="仿宋" w:eastAsia="仿宋" w:cs="仿宋"/>
          <w:color w:val="000000"/>
          <w:kern w:val="0"/>
          <w:sz w:val="30"/>
          <w:szCs w:val="30"/>
          <w:lang w:val="en-US" w:eastAsia="zh-CN" w:bidi="ar"/>
        </w:rPr>
        <w:t>深圳市福田区政务服务数据管理局2022年度“三公”经费财</w:t>
      </w:r>
      <w:r>
        <w:rPr>
          <w:rFonts w:hint="eastAsia" w:ascii="仿宋" w:hAnsi="仿宋" w:eastAsia="仿宋" w:cs="仿宋"/>
          <w:color w:val="000000"/>
          <w:kern w:val="0"/>
          <w:sz w:val="30"/>
          <w:szCs w:val="30"/>
          <w:lang w:val="en-US" w:eastAsia="zh-CN" w:bidi="ar"/>
        </w:rPr>
        <w:t>政拨款支出决算为24.38万元，完成全年预算26.51万元的92%，比上年决算数增加20.31万元，增长499%。其中：因公出国（境）费支出决算为0万元，完成全年预算0万元的0%，比上年决算数增加0万元，增长0%；公务用车购置及运行维护费支出决算为24.38万元，完成全年预算26.51万元的92%，比上年决算数增加20.38万元，增长509.5%；其中：公务用车购置支出决算为16.61万元，完成全年预算17万元的97.7%，比上年决算数增加16.61万元，增长--（基数为0，不可比）；公务用车运行维护费支出决算为7.77万元，完成全年预算9.51万元的81.7%，比上年决算数增加3.77万元，增长94.3%；公务接待费支出决算为0万元，完成全年预算0万元的0%，比上年决算数减少0.07万元，下降100%。</w:t>
      </w:r>
    </w:p>
    <w:p w14:paraId="210EFB4F">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pPr>
      <w:r>
        <w:rPr>
          <w:rFonts w:hint="eastAsia" w:ascii="仿宋" w:hAnsi="仿宋" w:eastAsia="仿宋" w:cs="仿宋"/>
          <w:color w:val="000000"/>
          <w:kern w:val="0"/>
          <w:sz w:val="30"/>
          <w:szCs w:val="30"/>
          <w:lang w:val="en-US" w:eastAsia="zh-CN" w:bidi="ar"/>
        </w:rPr>
        <w:t xml:space="preserve">2022年度“三公”经费支出决算小于预算数的主要情况：厉行节约，压紧开支。 </w:t>
      </w:r>
    </w:p>
    <w:p w14:paraId="4953EF04">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pPr>
      <w:r>
        <w:rPr>
          <w:rFonts w:hint="eastAsia" w:ascii="仿宋" w:hAnsi="仿宋" w:eastAsia="仿宋" w:cs="仿宋"/>
          <w:color w:val="000000"/>
          <w:kern w:val="0"/>
          <w:sz w:val="30"/>
          <w:szCs w:val="30"/>
          <w:lang w:val="en-US" w:eastAsia="zh-CN" w:bidi="ar"/>
        </w:rPr>
        <w:t xml:space="preserve">2022年度“三公”经费支出决算大于上年决算数的主要情 </w:t>
      </w:r>
    </w:p>
    <w:p w14:paraId="0A36B057">
      <w:pPr>
        <w:keepNext w:val="0"/>
        <w:keepLines w:val="0"/>
        <w:pageBreakBefore w:val="0"/>
        <w:widowControl/>
        <w:suppressLineNumbers w:val="0"/>
        <w:kinsoku/>
        <w:wordWrap/>
        <w:overflowPunct/>
        <w:topLinePunct w:val="0"/>
        <w:autoSpaceDE/>
        <w:autoSpaceDN/>
        <w:bidi w:val="0"/>
        <w:adjustRightInd/>
        <w:snapToGrid/>
        <w:jc w:val="both"/>
        <w:textAlignment w:val="auto"/>
      </w:pPr>
      <w:r>
        <w:rPr>
          <w:rFonts w:hint="eastAsia" w:ascii="仿宋" w:hAnsi="仿宋" w:eastAsia="仿宋" w:cs="仿宋"/>
          <w:color w:val="000000"/>
          <w:kern w:val="0"/>
          <w:sz w:val="30"/>
          <w:szCs w:val="30"/>
          <w:lang w:val="en-US" w:eastAsia="zh-CN" w:bidi="ar"/>
        </w:rPr>
        <w:t xml:space="preserve">况：2022年9月2日区机关事务局批准我局更新购置1辆公务用车，以及民意速办智慧分拨中心新增1辆公务用车。 </w:t>
      </w:r>
    </w:p>
    <w:p w14:paraId="1A34EC91">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（二）“三公”经费财政拨款支出决算具体情况说明 </w:t>
      </w:r>
    </w:p>
    <w:p w14:paraId="4A9D6BBC">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pPr>
      <w:r>
        <w:rPr>
          <w:rFonts w:hint="eastAsia" w:ascii="仿宋" w:hAnsi="仿宋" w:eastAsia="仿宋" w:cs="仿宋"/>
          <w:color w:val="000000"/>
          <w:kern w:val="0"/>
          <w:sz w:val="30"/>
          <w:szCs w:val="30"/>
          <w:lang w:val="en-US" w:eastAsia="zh-CN" w:bidi="ar"/>
        </w:rPr>
        <w:t>2022</w:t>
      </w:r>
      <w:r>
        <w:rPr>
          <w:rFonts w:ascii="仿宋" w:hAnsi="仿宋" w:eastAsia="仿宋" w:cs="仿宋"/>
          <w:color w:val="000000"/>
          <w:kern w:val="0"/>
          <w:sz w:val="30"/>
          <w:szCs w:val="30"/>
          <w:lang w:val="en-US" w:eastAsia="zh-CN" w:bidi="ar"/>
        </w:rPr>
        <w:t>年度“三公”经费财政拨款支出决算中，因公出国</w:t>
      </w:r>
      <w:r>
        <w:rPr>
          <w:rFonts w:hint="eastAsia" w:ascii="仿宋" w:hAnsi="仿宋" w:eastAsia="仿宋" w:cs="仿宋"/>
          <w:color w:val="000000"/>
          <w:kern w:val="0"/>
          <w:sz w:val="30"/>
          <w:szCs w:val="30"/>
          <w:lang w:val="en-US" w:eastAsia="zh-CN" w:bidi="ar"/>
        </w:rPr>
        <w:t xml:space="preserve">（境）费0万元，占0%；公务用车购置及运行维护费支出24.38万元，占100%；公务接待费支出0万元，占0%。具体情况如下： </w:t>
      </w:r>
    </w:p>
    <w:p w14:paraId="7AFE526C">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pPr>
      <w:r>
        <w:rPr>
          <w:rFonts w:hint="eastAsia" w:ascii="仿宋" w:hAnsi="仿宋" w:eastAsia="仿宋" w:cs="仿宋"/>
          <w:color w:val="000000"/>
          <w:kern w:val="0"/>
          <w:sz w:val="30"/>
          <w:szCs w:val="30"/>
          <w:lang w:val="en-US" w:eastAsia="zh-CN" w:bidi="ar"/>
        </w:rPr>
        <w:t xml:space="preserve">1.因公出国（境）费支出0万元。全年使用财政拨款安排出国（境）团组0个、累计0人次。 </w:t>
      </w:r>
    </w:p>
    <w:p w14:paraId="03E4D103">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pPr>
      <w:r>
        <w:rPr>
          <w:rFonts w:hint="eastAsia" w:ascii="仿宋" w:hAnsi="仿宋" w:eastAsia="仿宋" w:cs="仿宋"/>
          <w:color w:val="000000"/>
          <w:kern w:val="0"/>
          <w:sz w:val="30"/>
          <w:szCs w:val="30"/>
          <w:lang w:val="en-US" w:eastAsia="zh-CN" w:bidi="ar"/>
        </w:rPr>
        <w:t xml:space="preserve">2.公务用车购置及运行维护费支出24.38万元，其中：公务用车购置支出为16.61万元，公务用车购置数1辆。公务用车运行维护费支出7.77万元，公务用车保有量为3辆，主要用于车辆的运行维护。 </w:t>
      </w:r>
    </w:p>
    <w:p w14:paraId="4B16EBBE">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pPr>
      <w:r>
        <w:rPr>
          <w:rFonts w:hint="eastAsia" w:ascii="仿宋" w:hAnsi="仿宋" w:eastAsia="仿宋" w:cs="仿宋"/>
          <w:color w:val="000000"/>
          <w:kern w:val="0"/>
          <w:sz w:val="30"/>
          <w:szCs w:val="30"/>
          <w:lang w:val="en-US" w:eastAsia="zh-CN" w:bidi="ar"/>
        </w:rPr>
        <w:t>3.公务接待费支出0万元，主要用于按规定开支的各类公务接待支出，共接待国外、境外来访团组0个，来访外宾0人次；发生国内接待0次，接待人数共0人。主要包括了</w:t>
      </w:r>
      <w:bookmarkStart w:id="1" w:name="_GoBack"/>
      <w:bookmarkEnd w:id="1"/>
      <w:r>
        <w:rPr>
          <w:rFonts w:hint="eastAsia" w:ascii="仿宋" w:hAnsi="仿宋" w:eastAsia="仿宋" w:cs="仿宋"/>
          <w:color w:val="000000"/>
          <w:kern w:val="0"/>
          <w:sz w:val="30"/>
          <w:szCs w:val="30"/>
          <w:lang w:val="en-US" w:eastAsia="zh-CN" w:bidi="ar"/>
        </w:rPr>
        <w:t>根据厉行节约的原则，无公务接待费用支出。</w:t>
      </w:r>
    </w:p>
    <w:p w14:paraId="16382065">
      <w:pPr>
        <w:pStyle w:val="2"/>
        <w:ind w:left="0" w:leftChars="0" w:firstLine="0" w:firstLineChars="0"/>
      </w:pPr>
    </w:p>
    <w:p w14:paraId="5C0EE15C"/>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952"/>
        <w:gridCol w:w="666"/>
        <w:gridCol w:w="705"/>
        <w:gridCol w:w="625"/>
        <w:gridCol w:w="646"/>
        <w:gridCol w:w="666"/>
        <w:gridCol w:w="953"/>
        <w:gridCol w:w="666"/>
        <w:gridCol w:w="706"/>
        <w:gridCol w:w="625"/>
        <w:gridCol w:w="646"/>
      </w:tblGrid>
      <w:tr w14:paraId="5B46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0" w:type="auto"/>
            <w:gridSpan w:val="12"/>
            <w:tcBorders>
              <w:top w:val="nil"/>
              <w:left w:val="nil"/>
              <w:bottom w:val="nil"/>
              <w:right w:val="nil"/>
            </w:tcBorders>
          </w:tcPr>
          <w:p w14:paraId="3EE20469">
            <w:pPr>
              <w:jc w:val="center"/>
              <w:rPr>
                <w:rFonts w:ascii="宋体" w:hAnsi="宋体" w:cs="宋体"/>
                <w:b/>
              </w:rPr>
            </w:pPr>
            <w:r>
              <w:rPr>
                <w:rFonts w:hint="eastAsia" w:ascii="宋体" w:hAnsi="宋体" w:cs="宋体"/>
                <w:b/>
                <w:kern w:val="0"/>
                <w:sz w:val="32"/>
                <w:szCs w:val="32"/>
              </w:rPr>
              <w:t>一般公共预算财政拨款“三公”经费支出决算表</w:t>
            </w:r>
          </w:p>
        </w:tc>
      </w:tr>
      <w:tr w14:paraId="7AA1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0" w:type="auto"/>
            <w:gridSpan w:val="9"/>
            <w:tcBorders>
              <w:top w:val="nil"/>
              <w:left w:val="nil"/>
              <w:bottom w:val="single" w:color="auto" w:sz="4" w:space="0"/>
              <w:right w:val="nil"/>
            </w:tcBorders>
            <w:vAlign w:val="center"/>
          </w:tcPr>
          <w:p w14:paraId="6541B9FE">
            <w:pPr>
              <w:spacing w:line="288" w:lineRule="auto"/>
              <w:jc w:val="left"/>
              <w:rPr>
                <w:rFonts w:hint="eastAsia" w:ascii="宋体" w:hAnsi="宋体" w:cs="宋体" w:eastAsiaTheme="minorEastAsia"/>
                <w:sz w:val="28"/>
                <w:szCs w:val="28"/>
                <w:lang w:eastAsia="zh-CN"/>
              </w:rPr>
            </w:pPr>
            <w:bookmarkStart w:id="0" w:name="PO_part2DivName7"/>
            <w:r>
              <w:rPr>
                <w:rFonts w:hint="eastAsia" w:ascii="宋体" w:hAnsi="宋体" w:cs="宋体"/>
                <w:kern w:val="0"/>
                <w:sz w:val="20"/>
                <w:szCs w:val="20"/>
              </w:rPr>
              <w:t xml:space="preserve"> 部门</w:t>
            </w:r>
            <w:r>
              <w:rPr>
                <w:rFonts w:hint="eastAsia" w:ascii="宋体" w:hAnsi="宋体" w:cs="宋体"/>
                <w:kern w:val="0"/>
                <w:sz w:val="11"/>
                <w:szCs w:val="11"/>
              </w:rPr>
              <w:t xml:space="preserve"> </w:t>
            </w:r>
            <w:bookmarkEnd w:id="0"/>
            <w:r>
              <w:rPr>
                <w:rFonts w:hint="eastAsia" w:ascii="宋体" w:hAnsi="宋体" w:cs="宋体"/>
                <w:kern w:val="0"/>
                <w:sz w:val="20"/>
                <w:szCs w:val="20"/>
              </w:rPr>
              <w:t>：</w:t>
            </w:r>
            <w:r>
              <w:rPr>
                <w:rFonts w:hint="eastAsia" w:ascii="宋体" w:hAnsi="宋体" w:cs="宋体"/>
                <w:kern w:val="0"/>
                <w:sz w:val="20"/>
                <w:szCs w:val="20"/>
                <w:lang w:eastAsia="zh-CN"/>
              </w:rPr>
              <w:t>深圳市福田区政务服务数据管理局</w:t>
            </w:r>
          </w:p>
        </w:tc>
        <w:tc>
          <w:tcPr>
            <w:tcW w:w="0" w:type="auto"/>
            <w:gridSpan w:val="3"/>
            <w:tcBorders>
              <w:top w:val="nil"/>
              <w:left w:val="nil"/>
              <w:bottom w:val="single" w:color="auto" w:sz="4" w:space="0"/>
              <w:right w:val="nil"/>
            </w:tcBorders>
            <w:vAlign w:val="center"/>
          </w:tcPr>
          <w:p w14:paraId="2237F151">
            <w:pPr>
              <w:jc w:val="right"/>
              <w:rPr>
                <w:rFonts w:ascii="宋体" w:hAnsi="宋体" w:cs="宋体"/>
              </w:rPr>
            </w:pPr>
            <w:r>
              <w:rPr>
                <w:rFonts w:hint="eastAsia" w:ascii="宋体" w:hAnsi="宋体" w:cs="宋体"/>
                <w:kern w:val="0"/>
                <w:sz w:val="20"/>
                <w:szCs w:val="20"/>
              </w:rPr>
              <w:t>单位：万元</w:t>
            </w:r>
          </w:p>
        </w:tc>
      </w:tr>
      <w:tr w14:paraId="725D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0" w:type="auto"/>
            <w:gridSpan w:val="6"/>
            <w:tcBorders>
              <w:top w:val="single" w:color="auto" w:sz="4" w:space="0"/>
            </w:tcBorders>
            <w:vAlign w:val="center"/>
          </w:tcPr>
          <w:p w14:paraId="3850D92C">
            <w:pPr>
              <w:jc w:val="center"/>
              <w:rPr>
                <w:rFonts w:ascii="宋体" w:hAnsi="宋体" w:cs="宋体"/>
                <w:szCs w:val="21"/>
              </w:rPr>
            </w:pPr>
            <w:r>
              <w:rPr>
                <w:rFonts w:hint="eastAsia" w:ascii="宋体" w:hAnsi="宋体" w:cs="宋体"/>
                <w:kern w:val="0"/>
                <w:szCs w:val="21"/>
              </w:rPr>
              <w:t>预算数</w:t>
            </w:r>
          </w:p>
        </w:tc>
        <w:tc>
          <w:tcPr>
            <w:tcW w:w="0" w:type="auto"/>
            <w:gridSpan w:val="6"/>
            <w:tcBorders>
              <w:top w:val="single" w:color="auto" w:sz="4" w:space="0"/>
            </w:tcBorders>
            <w:vAlign w:val="center"/>
          </w:tcPr>
          <w:p w14:paraId="4CAA978F">
            <w:pPr>
              <w:jc w:val="center"/>
              <w:rPr>
                <w:rFonts w:ascii="宋体" w:hAnsi="宋体" w:cs="宋体"/>
                <w:szCs w:val="21"/>
              </w:rPr>
            </w:pPr>
            <w:r>
              <w:rPr>
                <w:rFonts w:hint="eastAsia" w:ascii="宋体" w:hAnsi="宋体" w:cs="宋体"/>
                <w:kern w:val="0"/>
                <w:szCs w:val="21"/>
              </w:rPr>
              <w:t>决算数</w:t>
            </w:r>
          </w:p>
        </w:tc>
      </w:tr>
      <w:tr w14:paraId="1F4F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0" w:type="auto"/>
            <w:vMerge w:val="restart"/>
            <w:vAlign w:val="center"/>
          </w:tcPr>
          <w:p w14:paraId="696E2ACA">
            <w:pPr>
              <w:widowControl/>
              <w:jc w:val="center"/>
              <w:rPr>
                <w:rFonts w:ascii="宋体" w:hAnsi="宋体" w:cs="宋体"/>
                <w:kern w:val="0"/>
                <w:szCs w:val="21"/>
              </w:rPr>
            </w:pPr>
            <w:r>
              <w:rPr>
                <w:rFonts w:hint="eastAsia" w:ascii="宋体" w:hAnsi="宋体" w:cs="宋体"/>
                <w:kern w:val="0"/>
                <w:szCs w:val="21"/>
              </w:rPr>
              <w:t>合计</w:t>
            </w:r>
          </w:p>
        </w:tc>
        <w:tc>
          <w:tcPr>
            <w:tcW w:w="0" w:type="auto"/>
            <w:vMerge w:val="restart"/>
            <w:vAlign w:val="center"/>
          </w:tcPr>
          <w:p w14:paraId="36F644F4">
            <w:pPr>
              <w:widowControl/>
              <w:jc w:val="center"/>
              <w:rPr>
                <w:rFonts w:ascii="宋体" w:hAnsi="宋体" w:cs="宋体"/>
                <w:kern w:val="0"/>
                <w:szCs w:val="21"/>
              </w:rPr>
            </w:pPr>
            <w:r>
              <w:rPr>
                <w:rFonts w:hint="eastAsia" w:ascii="宋体" w:hAnsi="宋体" w:cs="宋体"/>
                <w:kern w:val="0"/>
                <w:szCs w:val="21"/>
              </w:rPr>
              <w:t>因公出国（境）费</w:t>
            </w:r>
          </w:p>
        </w:tc>
        <w:tc>
          <w:tcPr>
            <w:tcW w:w="0" w:type="auto"/>
            <w:gridSpan w:val="3"/>
            <w:vAlign w:val="center"/>
          </w:tcPr>
          <w:p w14:paraId="77C05DD3">
            <w:pPr>
              <w:jc w:val="center"/>
              <w:rPr>
                <w:rFonts w:ascii="宋体" w:hAnsi="宋体" w:cs="宋体"/>
                <w:szCs w:val="21"/>
              </w:rPr>
            </w:pPr>
            <w:r>
              <w:rPr>
                <w:rFonts w:hint="eastAsia" w:ascii="宋体" w:hAnsi="宋体" w:cs="宋体"/>
                <w:kern w:val="0"/>
                <w:szCs w:val="21"/>
              </w:rPr>
              <w:t>公务用车购置及运行费</w:t>
            </w:r>
          </w:p>
        </w:tc>
        <w:tc>
          <w:tcPr>
            <w:tcW w:w="0" w:type="auto"/>
            <w:vMerge w:val="restart"/>
            <w:vAlign w:val="center"/>
          </w:tcPr>
          <w:p w14:paraId="26B80388">
            <w:pPr>
              <w:widowControl/>
              <w:jc w:val="center"/>
              <w:rPr>
                <w:rFonts w:ascii="宋体" w:hAnsi="宋体" w:cs="宋体"/>
                <w:kern w:val="0"/>
                <w:szCs w:val="21"/>
              </w:rPr>
            </w:pPr>
            <w:r>
              <w:rPr>
                <w:rFonts w:hint="eastAsia" w:ascii="宋体" w:hAnsi="宋体" w:cs="宋体"/>
                <w:kern w:val="0"/>
                <w:szCs w:val="21"/>
              </w:rPr>
              <w:t>公务接待费</w:t>
            </w:r>
          </w:p>
        </w:tc>
        <w:tc>
          <w:tcPr>
            <w:tcW w:w="0" w:type="auto"/>
            <w:vMerge w:val="restart"/>
            <w:vAlign w:val="center"/>
          </w:tcPr>
          <w:p w14:paraId="205FFCDF">
            <w:pPr>
              <w:widowControl/>
              <w:jc w:val="center"/>
              <w:rPr>
                <w:rFonts w:ascii="宋体" w:hAnsi="宋体" w:cs="宋体"/>
                <w:kern w:val="0"/>
                <w:szCs w:val="21"/>
              </w:rPr>
            </w:pPr>
            <w:r>
              <w:rPr>
                <w:rFonts w:hint="eastAsia" w:ascii="宋体" w:hAnsi="宋体" w:cs="宋体"/>
                <w:kern w:val="0"/>
                <w:szCs w:val="21"/>
              </w:rPr>
              <w:t>合计</w:t>
            </w:r>
          </w:p>
        </w:tc>
        <w:tc>
          <w:tcPr>
            <w:tcW w:w="0" w:type="auto"/>
            <w:vMerge w:val="restart"/>
            <w:vAlign w:val="center"/>
          </w:tcPr>
          <w:p w14:paraId="344FB979">
            <w:pPr>
              <w:jc w:val="center"/>
              <w:rPr>
                <w:rFonts w:ascii="宋体" w:hAnsi="宋体" w:cs="宋体"/>
                <w:szCs w:val="21"/>
              </w:rPr>
            </w:pPr>
            <w:r>
              <w:rPr>
                <w:rFonts w:hint="eastAsia" w:ascii="宋体" w:hAnsi="宋体" w:cs="宋体"/>
                <w:kern w:val="0"/>
                <w:szCs w:val="21"/>
              </w:rPr>
              <w:t>因公出国（境）费</w:t>
            </w:r>
          </w:p>
        </w:tc>
        <w:tc>
          <w:tcPr>
            <w:tcW w:w="0" w:type="auto"/>
            <w:gridSpan w:val="3"/>
            <w:vAlign w:val="center"/>
          </w:tcPr>
          <w:p w14:paraId="3F53EFD9">
            <w:pPr>
              <w:jc w:val="center"/>
              <w:rPr>
                <w:rFonts w:ascii="宋体" w:hAnsi="宋体" w:cs="宋体"/>
                <w:szCs w:val="21"/>
              </w:rPr>
            </w:pPr>
            <w:r>
              <w:rPr>
                <w:rFonts w:hint="eastAsia" w:ascii="宋体" w:hAnsi="宋体" w:cs="宋体"/>
                <w:kern w:val="0"/>
                <w:szCs w:val="21"/>
              </w:rPr>
              <w:t>公务用车购置及运行费</w:t>
            </w:r>
          </w:p>
        </w:tc>
        <w:tc>
          <w:tcPr>
            <w:tcW w:w="0" w:type="auto"/>
            <w:vMerge w:val="restart"/>
            <w:vAlign w:val="center"/>
          </w:tcPr>
          <w:p w14:paraId="2F72C824">
            <w:pPr>
              <w:jc w:val="center"/>
              <w:rPr>
                <w:rFonts w:ascii="宋体" w:hAnsi="宋体" w:cs="宋体"/>
                <w:szCs w:val="21"/>
              </w:rPr>
            </w:pPr>
            <w:r>
              <w:rPr>
                <w:rFonts w:hint="eastAsia" w:ascii="宋体" w:hAnsi="宋体" w:cs="宋体"/>
                <w:kern w:val="0"/>
                <w:szCs w:val="21"/>
              </w:rPr>
              <w:t>公务接待费</w:t>
            </w:r>
          </w:p>
        </w:tc>
      </w:tr>
      <w:tr w14:paraId="18D7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0" w:type="auto"/>
            <w:vMerge w:val="continue"/>
          </w:tcPr>
          <w:p w14:paraId="4BF8B191">
            <w:pPr>
              <w:spacing w:line="288" w:lineRule="auto"/>
              <w:rPr>
                <w:rFonts w:ascii="宋体" w:hAnsi="宋体" w:cs="宋体"/>
                <w:szCs w:val="21"/>
              </w:rPr>
            </w:pPr>
          </w:p>
        </w:tc>
        <w:tc>
          <w:tcPr>
            <w:tcW w:w="0" w:type="auto"/>
            <w:vMerge w:val="continue"/>
          </w:tcPr>
          <w:p w14:paraId="6067C71F">
            <w:pPr>
              <w:spacing w:line="288" w:lineRule="auto"/>
              <w:rPr>
                <w:rFonts w:ascii="宋体" w:hAnsi="宋体" w:cs="宋体"/>
                <w:szCs w:val="21"/>
              </w:rPr>
            </w:pPr>
          </w:p>
        </w:tc>
        <w:tc>
          <w:tcPr>
            <w:tcW w:w="0" w:type="auto"/>
            <w:vAlign w:val="center"/>
          </w:tcPr>
          <w:p w14:paraId="3AC576E5">
            <w:pPr>
              <w:widowControl/>
              <w:jc w:val="center"/>
              <w:rPr>
                <w:rFonts w:ascii="宋体" w:hAnsi="宋体" w:cs="宋体"/>
                <w:kern w:val="0"/>
                <w:szCs w:val="21"/>
              </w:rPr>
            </w:pPr>
            <w:r>
              <w:rPr>
                <w:rFonts w:hint="eastAsia" w:ascii="宋体" w:hAnsi="宋体" w:cs="宋体"/>
                <w:kern w:val="0"/>
                <w:szCs w:val="21"/>
              </w:rPr>
              <w:t>小计</w:t>
            </w:r>
          </w:p>
        </w:tc>
        <w:tc>
          <w:tcPr>
            <w:tcW w:w="0" w:type="auto"/>
            <w:vAlign w:val="center"/>
          </w:tcPr>
          <w:p w14:paraId="01730D5F">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0" w:type="auto"/>
            <w:vAlign w:val="center"/>
          </w:tcPr>
          <w:p w14:paraId="428B6499">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0" w:type="auto"/>
            <w:vMerge w:val="continue"/>
          </w:tcPr>
          <w:p w14:paraId="2170B7B5">
            <w:pPr>
              <w:spacing w:line="288" w:lineRule="auto"/>
              <w:rPr>
                <w:rFonts w:ascii="宋体" w:hAnsi="宋体" w:cs="宋体"/>
                <w:szCs w:val="21"/>
              </w:rPr>
            </w:pPr>
          </w:p>
        </w:tc>
        <w:tc>
          <w:tcPr>
            <w:tcW w:w="0" w:type="auto"/>
            <w:vMerge w:val="continue"/>
          </w:tcPr>
          <w:p w14:paraId="251DCAB5">
            <w:pPr>
              <w:spacing w:line="288" w:lineRule="auto"/>
              <w:rPr>
                <w:rFonts w:ascii="宋体" w:hAnsi="宋体" w:cs="宋体"/>
                <w:szCs w:val="21"/>
              </w:rPr>
            </w:pPr>
          </w:p>
        </w:tc>
        <w:tc>
          <w:tcPr>
            <w:tcW w:w="0" w:type="auto"/>
            <w:vMerge w:val="continue"/>
          </w:tcPr>
          <w:p w14:paraId="338ACAA1">
            <w:pPr>
              <w:spacing w:line="288" w:lineRule="auto"/>
              <w:rPr>
                <w:rFonts w:ascii="宋体" w:hAnsi="宋体" w:cs="宋体"/>
                <w:szCs w:val="21"/>
              </w:rPr>
            </w:pPr>
          </w:p>
        </w:tc>
        <w:tc>
          <w:tcPr>
            <w:tcW w:w="0" w:type="auto"/>
            <w:vAlign w:val="center"/>
          </w:tcPr>
          <w:p w14:paraId="20BFB16F">
            <w:pPr>
              <w:widowControl/>
              <w:jc w:val="center"/>
              <w:rPr>
                <w:rFonts w:ascii="宋体" w:hAnsi="宋体" w:cs="宋体"/>
                <w:kern w:val="0"/>
                <w:szCs w:val="21"/>
              </w:rPr>
            </w:pPr>
            <w:r>
              <w:rPr>
                <w:rFonts w:hint="eastAsia" w:ascii="宋体" w:hAnsi="宋体" w:cs="宋体"/>
                <w:kern w:val="0"/>
                <w:szCs w:val="21"/>
              </w:rPr>
              <w:t>小计</w:t>
            </w:r>
          </w:p>
        </w:tc>
        <w:tc>
          <w:tcPr>
            <w:tcW w:w="0" w:type="auto"/>
            <w:vAlign w:val="center"/>
          </w:tcPr>
          <w:p w14:paraId="62F93E31">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0" w:type="auto"/>
            <w:vAlign w:val="center"/>
          </w:tcPr>
          <w:p w14:paraId="73AC62E0">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0" w:type="auto"/>
            <w:vMerge w:val="continue"/>
          </w:tcPr>
          <w:p w14:paraId="761DA73C">
            <w:pPr>
              <w:spacing w:line="288" w:lineRule="auto"/>
              <w:rPr>
                <w:rFonts w:ascii="宋体" w:hAnsi="宋体" w:cs="宋体"/>
                <w:szCs w:val="21"/>
              </w:rPr>
            </w:pPr>
          </w:p>
        </w:tc>
      </w:tr>
      <w:tr w14:paraId="66DD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0" w:type="auto"/>
            <w:vAlign w:val="center"/>
          </w:tcPr>
          <w:p w14:paraId="35C2B5A1">
            <w:pPr>
              <w:widowControl/>
              <w:jc w:val="center"/>
              <w:rPr>
                <w:rFonts w:ascii="宋体" w:hAnsi="宋体" w:cs="宋体"/>
                <w:kern w:val="0"/>
                <w:szCs w:val="21"/>
              </w:rPr>
            </w:pPr>
            <w:r>
              <w:rPr>
                <w:rFonts w:hint="eastAsia" w:ascii="宋体" w:hAnsi="宋体" w:cs="宋体"/>
                <w:kern w:val="0"/>
                <w:szCs w:val="21"/>
              </w:rPr>
              <w:t>1</w:t>
            </w:r>
          </w:p>
        </w:tc>
        <w:tc>
          <w:tcPr>
            <w:tcW w:w="0" w:type="auto"/>
            <w:vAlign w:val="center"/>
          </w:tcPr>
          <w:p w14:paraId="73D083D1">
            <w:pPr>
              <w:widowControl/>
              <w:jc w:val="center"/>
              <w:rPr>
                <w:rFonts w:ascii="宋体" w:hAnsi="宋体" w:cs="宋体"/>
                <w:kern w:val="0"/>
                <w:szCs w:val="21"/>
              </w:rPr>
            </w:pPr>
            <w:r>
              <w:rPr>
                <w:rFonts w:hint="eastAsia" w:ascii="宋体" w:hAnsi="宋体" w:cs="宋体"/>
                <w:kern w:val="0"/>
                <w:szCs w:val="21"/>
              </w:rPr>
              <w:t>2</w:t>
            </w:r>
          </w:p>
        </w:tc>
        <w:tc>
          <w:tcPr>
            <w:tcW w:w="0" w:type="auto"/>
            <w:vAlign w:val="center"/>
          </w:tcPr>
          <w:p w14:paraId="057BD92E">
            <w:pPr>
              <w:widowControl/>
              <w:jc w:val="center"/>
              <w:rPr>
                <w:rFonts w:ascii="宋体" w:hAnsi="宋体" w:cs="宋体"/>
                <w:kern w:val="0"/>
                <w:szCs w:val="21"/>
              </w:rPr>
            </w:pPr>
            <w:r>
              <w:rPr>
                <w:rFonts w:hint="eastAsia" w:ascii="宋体" w:hAnsi="宋体" w:cs="宋体"/>
                <w:kern w:val="0"/>
                <w:szCs w:val="21"/>
              </w:rPr>
              <w:t>3</w:t>
            </w:r>
          </w:p>
        </w:tc>
        <w:tc>
          <w:tcPr>
            <w:tcW w:w="0" w:type="auto"/>
            <w:vAlign w:val="center"/>
          </w:tcPr>
          <w:p w14:paraId="0D8AE84B">
            <w:pPr>
              <w:widowControl/>
              <w:jc w:val="center"/>
              <w:rPr>
                <w:rFonts w:ascii="宋体" w:hAnsi="宋体" w:cs="宋体"/>
                <w:kern w:val="0"/>
                <w:szCs w:val="21"/>
              </w:rPr>
            </w:pPr>
            <w:r>
              <w:rPr>
                <w:rFonts w:hint="eastAsia" w:ascii="宋体" w:hAnsi="宋体" w:cs="宋体"/>
                <w:kern w:val="0"/>
                <w:szCs w:val="21"/>
              </w:rPr>
              <w:t>4</w:t>
            </w:r>
          </w:p>
        </w:tc>
        <w:tc>
          <w:tcPr>
            <w:tcW w:w="0" w:type="auto"/>
            <w:vAlign w:val="center"/>
          </w:tcPr>
          <w:p w14:paraId="320026AE">
            <w:pPr>
              <w:widowControl/>
              <w:jc w:val="center"/>
              <w:rPr>
                <w:rFonts w:ascii="宋体" w:hAnsi="宋体" w:cs="宋体"/>
                <w:kern w:val="0"/>
                <w:szCs w:val="21"/>
              </w:rPr>
            </w:pPr>
            <w:r>
              <w:rPr>
                <w:rFonts w:hint="eastAsia" w:ascii="宋体" w:hAnsi="宋体" w:cs="宋体"/>
                <w:kern w:val="0"/>
                <w:szCs w:val="21"/>
              </w:rPr>
              <w:t>5</w:t>
            </w:r>
          </w:p>
        </w:tc>
        <w:tc>
          <w:tcPr>
            <w:tcW w:w="0" w:type="auto"/>
            <w:vAlign w:val="center"/>
          </w:tcPr>
          <w:p w14:paraId="5FC2FB8B">
            <w:pPr>
              <w:widowControl/>
              <w:jc w:val="center"/>
              <w:rPr>
                <w:rFonts w:ascii="宋体" w:hAnsi="宋体" w:cs="宋体"/>
                <w:kern w:val="0"/>
                <w:szCs w:val="21"/>
              </w:rPr>
            </w:pPr>
            <w:r>
              <w:rPr>
                <w:rFonts w:hint="eastAsia" w:ascii="宋体" w:hAnsi="宋体" w:cs="宋体"/>
                <w:kern w:val="0"/>
                <w:szCs w:val="21"/>
              </w:rPr>
              <w:t>6</w:t>
            </w:r>
          </w:p>
        </w:tc>
        <w:tc>
          <w:tcPr>
            <w:tcW w:w="0" w:type="auto"/>
            <w:vAlign w:val="center"/>
          </w:tcPr>
          <w:p w14:paraId="20439F53">
            <w:pPr>
              <w:widowControl/>
              <w:jc w:val="center"/>
              <w:rPr>
                <w:rFonts w:ascii="宋体" w:hAnsi="宋体" w:cs="宋体"/>
                <w:kern w:val="0"/>
                <w:szCs w:val="21"/>
              </w:rPr>
            </w:pPr>
            <w:r>
              <w:rPr>
                <w:rFonts w:hint="eastAsia" w:ascii="宋体" w:hAnsi="宋体" w:cs="宋体"/>
                <w:kern w:val="0"/>
                <w:szCs w:val="21"/>
              </w:rPr>
              <w:t>7</w:t>
            </w:r>
          </w:p>
        </w:tc>
        <w:tc>
          <w:tcPr>
            <w:tcW w:w="0" w:type="auto"/>
            <w:vAlign w:val="center"/>
          </w:tcPr>
          <w:p w14:paraId="38DA13AF">
            <w:pPr>
              <w:widowControl/>
              <w:jc w:val="center"/>
              <w:rPr>
                <w:rFonts w:ascii="宋体" w:hAnsi="宋体" w:cs="宋体"/>
                <w:kern w:val="0"/>
                <w:szCs w:val="21"/>
              </w:rPr>
            </w:pPr>
            <w:r>
              <w:rPr>
                <w:rFonts w:hint="eastAsia" w:ascii="宋体" w:hAnsi="宋体" w:cs="宋体"/>
                <w:kern w:val="0"/>
                <w:szCs w:val="21"/>
              </w:rPr>
              <w:t>8</w:t>
            </w:r>
          </w:p>
        </w:tc>
        <w:tc>
          <w:tcPr>
            <w:tcW w:w="0" w:type="auto"/>
            <w:vAlign w:val="center"/>
          </w:tcPr>
          <w:p w14:paraId="56F9625D">
            <w:pPr>
              <w:widowControl/>
              <w:jc w:val="center"/>
              <w:rPr>
                <w:rFonts w:ascii="宋体" w:hAnsi="宋体" w:cs="宋体"/>
                <w:kern w:val="0"/>
                <w:szCs w:val="21"/>
              </w:rPr>
            </w:pPr>
            <w:r>
              <w:rPr>
                <w:rFonts w:hint="eastAsia" w:ascii="宋体" w:hAnsi="宋体" w:cs="宋体"/>
                <w:kern w:val="0"/>
                <w:szCs w:val="21"/>
              </w:rPr>
              <w:t>9</w:t>
            </w:r>
          </w:p>
        </w:tc>
        <w:tc>
          <w:tcPr>
            <w:tcW w:w="0" w:type="auto"/>
            <w:vAlign w:val="center"/>
          </w:tcPr>
          <w:p w14:paraId="159C3970">
            <w:pPr>
              <w:widowControl/>
              <w:jc w:val="center"/>
              <w:rPr>
                <w:rFonts w:ascii="宋体" w:hAnsi="宋体" w:cs="宋体"/>
                <w:kern w:val="0"/>
                <w:szCs w:val="21"/>
              </w:rPr>
            </w:pPr>
            <w:r>
              <w:rPr>
                <w:rFonts w:hint="eastAsia" w:ascii="宋体" w:hAnsi="宋体" w:cs="宋体"/>
                <w:kern w:val="0"/>
                <w:szCs w:val="21"/>
              </w:rPr>
              <w:t>10</w:t>
            </w:r>
          </w:p>
        </w:tc>
        <w:tc>
          <w:tcPr>
            <w:tcW w:w="0" w:type="auto"/>
            <w:vAlign w:val="center"/>
          </w:tcPr>
          <w:p w14:paraId="2E2A25A7">
            <w:pPr>
              <w:widowControl/>
              <w:jc w:val="center"/>
              <w:rPr>
                <w:rFonts w:ascii="宋体" w:hAnsi="宋体" w:cs="宋体"/>
                <w:kern w:val="0"/>
                <w:szCs w:val="21"/>
              </w:rPr>
            </w:pPr>
            <w:r>
              <w:rPr>
                <w:rFonts w:hint="eastAsia" w:ascii="宋体" w:hAnsi="宋体" w:cs="宋体"/>
                <w:kern w:val="0"/>
                <w:szCs w:val="21"/>
              </w:rPr>
              <w:t>11</w:t>
            </w:r>
          </w:p>
        </w:tc>
        <w:tc>
          <w:tcPr>
            <w:tcW w:w="0" w:type="auto"/>
            <w:vAlign w:val="center"/>
          </w:tcPr>
          <w:p w14:paraId="3838D4ED">
            <w:pPr>
              <w:widowControl/>
              <w:jc w:val="center"/>
              <w:rPr>
                <w:rFonts w:ascii="宋体" w:hAnsi="宋体" w:cs="宋体"/>
                <w:kern w:val="0"/>
                <w:szCs w:val="21"/>
              </w:rPr>
            </w:pPr>
            <w:r>
              <w:rPr>
                <w:rFonts w:hint="eastAsia" w:ascii="宋体" w:hAnsi="宋体" w:cs="宋体"/>
                <w:kern w:val="0"/>
                <w:szCs w:val="21"/>
              </w:rPr>
              <w:t>12</w:t>
            </w:r>
          </w:p>
        </w:tc>
      </w:tr>
      <w:tr w14:paraId="0F2E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0" w:type="auto"/>
            <w:vAlign w:val="center"/>
          </w:tcPr>
          <w:p w14:paraId="4F36A96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26.51</w:t>
            </w:r>
          </w:p>
        </w:tc>
        <w:tc>
          <w:tcPr>
            <w:tcW w:w="0" w:type="auto"/>
            <w:vAlign w:val="center"/>
          </w:tcPr>
          <w:p w14:paraId="771D1AB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0" w:type="auto"/>
            <w:vAlign w:val="center"/>
          </w:tcPr>
          <w:p w14:paraId="639C157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26.51</w:t>
            </w:r>
          </w:p>
        </w:tc>
        <w:tc>
          <w:tcPr>
            <w:tcW w:w="0" w:type="auto"/>
            <w:vAlign w:val="center"/>
          </w:tcPr>
          <w:p w14:paraId="769C528B">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17.00</w:t>
            </w:r>
          </w:p>
        </w:tc>
        <w:tc>
          <w:tcPr>
            <w:tcW w:w="0" w:type="auto"/>
            <w:vAlign w:val="center"/>
          </w:tcPr>
          <w:p w14:paraId="716DB91C">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9.51</w:t>
            </w:r>
          </w:p>
        </w:tc>
        <w:tc>
          <w:tcPr>
            <w:tcW w:w="0" w:type="auto"/>
            <w:vAlign w:val="center"/>
          </w:tcPr>
          <w:p w14:paraId="5488A04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0" w:type="auto"/>
            <w:vAlign w:val="center"/>
          </w:tcPr>
          <w:p w14:paraId="76FDB5B1">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24.38</w:t>
            </w:r>
          </w:p>
        </w:tc>
        <w:tc>
          <w:tcPr>
            <w:tcW w:w="0" w:type="auto"/>
            <w:vAlign w:val="center"/>
          </w:tcPr>
          <w:p w14:paraId="6C0E2674">
            <w:pPr>
              <w:widowControl/>
              <w:jc w:val="center"/>
              <w:rPr>
                <w:rFonts w:ascii="宋体" w:hAnsi="宋体" w:cs="宋体"/>
                <w:kern w:val="0"/>
                <w:sz w:val="18"/>
                <w:szCs w:val="18"/>
              </w:rPr>
            </w:pPr>
            <w:r>
              <w:rPr>
                <w:rFonts w:hint="eastAsia" w:ascii="宋体" w:hAnsi="宋体" w:cs="宋体"/>
                <w:kern w:val="0"/>
                <w:sz w:val="18"/>
                <w:szCs w:val="18"/>
              </w:rPr>
              <w:t>0.00</w:t>
            </w:r>
          </w:p>
        </w:tc>
        <w:tc>
          <w:tcPr>
            <w:tcW w:w="0" w:type="auto"/>
            <w:vAlign w:val="center"/>
          </w:tcPr>
          <w:p w14:paraId="1ADB347A">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24.38</w:t>
            </w:r>
          </w:p>
        </w:tc>
        <w:tc>
          <w:tcPr>
            <w:tcW w:w="0" w:type="auto"/>
            <w:vAlign w:val="center"/>
          </w:tcPr>
          <w:p w14:paraId="18F21130">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16.61</w:t>
            </w:r>
          </w:p>
        </w:tc>
        <w:tc>
          <w:tcPr>
            <w:tcW w:w="0" w:type="auto"/>
            <w:vAlign w:val="center"/>
          </w:tcPr>
          <w:p w14:paraId="0170BEAA">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7.77</w:t>
            </w:r>
          </w:p>
        </w:tc>
        <w:tc>
          <w:tcPr>
            <w:tcW w:w="0" w:type="auto"/>
            <w:vAlign w:val="center"/>
          </w:tcPr>
          <w:p w14:paraId="0F6B0281">
            <w:pPr>
              <w:widowControl/>
              <w:jc w:val="center"/>
              <w:rPr>
                <w:rFonts w:hint="eastAsia" w:ascii="宋体" w:hAnsi="宋体" w:cs="宋体" w:eastAsiaTheme="minorEastAsia"/>
                <w:kern w:val="0"/>
                <w:sz w:val="18"/>
                <w:szCs w:val="18"/>
                <w:lang w:val="en-US" w:eastAsia="zh-CN"/>
              </w:rPr>
            </w:pPr>
            <w:r>
              <w:rPr>
                <w:rFonts w:ascii="宋体" w:hAnsi="宋体" w:cs="宋体"/>
                <w:kern w:val="0"/>
                <w:sz w:val="18"/>
                <w:szCs w:val="18"/>
              </w:rPr>
              <w:t>0.0</w:t>
            </w:r>
            <w:r>
              <w:rPr>
                <w:rFonts w:hint="eastAsia" w:ascii="宋体" w:hAnsi="宋体" w:cs="宋体"/>
                <w:kern w:val="0"/>
                <w:sz w:val="18"/>
                <w:szCs w:val="18"/>
                <w:lang w:val="en-US" w:eastAsia="zh-CN"/>
              </w:rPr>
              <w:t>0</w:t>
            </w:r>
          </w:p>
        </w:tc>
      </w:tr>
    </w:tbl>
    <w:p w14:paraId="79807BA4">
      <w:pPr>
        <w:spacing w:line="360" w:lineRule="auto"/>
        <w:ind w:firstLine="420" w:firstLineChars="200"/>
        <w:rPr>
          <w:rFonts w:hint="eastAsia" w:ascii="宋体" w:hAnsi="宋体" w:cs="宋体"/>
          <w:szCs w:val="21"/>
          <w:lang w:eastAsia="zh-CN"/>
        </w:rPr>
      </w:pPr>
      <w:r>
        <w:rPr>
          <w:rFonts w:hint="eastAsia" w:ascii="宋体" w:hAnsi="宋体" w:cs="宋体"/>
          <w:szCs w:val="21"/>
        </w:rPr>
        <w:t>注：本表反映单位本年度“三公”经费支出预决算情况。其中，预算数为“三公”经费全年预算数，反映按规定程序调整后的预算数；决算数是包括当年一般公共预算财政拨款和以前年度结转资金安排的实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YmMwOGFjYTBmOGFkYmU1Y2NkZjVjMDFmNGNiNTcifQ=="/>
  </w:docVars>
  <w:rsids>
    <w:rsidRoot w:val="604050DD"/>
    <w:rsid w:val="008256A0"/>
    <w:rsid w:val="019E3125"/>
    <w:rsid w:val="02401D36"/>
    <w:rsid w:val="053454A5"/>
    <w:rsid w:val="0D352B8F"/>
    <w:rsid w:val="0F260026"/>
    <w:rsid w:val="0F743212"/>
    <w:rsid w:val="147E307E"/>
    <w:rsid w:val="16D927DD"/>
    <w:rsid w:val="1CFF0AC4"/>
    <w:rsid w:val="1D230C56"/>
    <w:rsid w:val="205367B5"/>
    <w:rsid w:val="20C95670"/>
    <w:rsid w:val="21C67E02"/>
    <w:rsid w:val="2AB729DE"/>
    <w:rsid w:val="2CDE3A0D"/>
    <w:rsid w:val="2F6B12EF"/>
    <w:rsid w:val="30760C45"/>
    <w:rsid w:val="30A71AE3"/>
    <w:rsid w:val="311741D6"/>
    <w:rsid w:val="3292016B"/>
    <w:rsid w:val="373272D1"/>
    <w:rsid w:val="378105FB"/>
    <w:rsid w:val="381256F7"/>
    <w:rsid w:val="39A44A75"/>
    <w:rsid w:val="39B57AC8"/>
    <w:rsid w:val="3AD24B07"/>
    <w:rsid w:val="3C406CD7"/>
    <w:rsid w:val="49A07007"/>
    <w:rsid w:val="4D4D1254"/>
    <w:rsid w:val="500D5E0C"/>
    <w:rsid w:val="604050DD"/>
    <w:rsid w:val="623E513D"/>
    <w:rsid w:val="626F5370"/>
    <w:rsid w:val="649E7516"/>
    <w:rsid w:val="65731FC6"/>
    <w:rsid w:val="69F150A0"/>
    <w:rsid w:val="6D8E7364"/>
    <w:rsid w:val="6E8C1058"/>
    <w:rsid w:val="7027728A"/>
    <w:rsid w:val="74B521D9"/>
    <w:rsid w:val="74C73BE1"/>
    <w:rsid w:val="755D1B8B"/>
    <w:rsid w:val="764A5A81"/>
    <w:rsid w:val="781C169F"/>
    <w:rsid w:val="790A1FBE"/>
    <w:rsid w:val="7C605FFE"/>
    <w:rsid w:val="7DE75617"/>
    <w:rsid w:val="7FBA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ind w:firstLine="640" w:firstLineChars="200"/>
      <w:outlineLvl w:val="3"/>
    </w:pPr>
    <w:rPr>
      <w:rFonts w:ascii="仿宋_GB2312" w:hAnsi="仿宋_GB2312" w:eastAsia="仿宋_GB2312"/>
      <w:sz w:val="32"/>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1125</Words>
  <Characters>1287</Characters>
  <Lines>0</Lines>
  <Paragraphs>0</Paragraphs>
  <TotalTime>0</TotalTime>
  <ScaleCrop>false</ScaleCrop>
  <LinksUpToDate>false</LinksUpToDate>
  <CharactersWithSpaces>1300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2022-11-12T06:28:00Z</dcterms:created>
  <dc:creator>Gentle。</dc:creator>
  <cp:lastModifiedBy>-Jus</cp:lastModifiedBy>
  <dcterms:modified xsi:type="dcterms:W3CDTF">2025-01-16T07:27:17Z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4C21298D004D4557B2FD839FB98132D9_13</vt:lpwstr>
  </property>
  <property fmtid="{D5CDD505-2E9C-101B-9397-08002B2CF9AE}" pid="4" name="KSOTemplateDocerSaveRecord">
    <vt:lpwstr>eyJoZGlkIjoiY2I0MmNmY2JlZjI4ZmYxYjFhZDYyYThlM2ZhMzZlNWYiLCJ1c2VySWQiOiIzMzQwMjY1MjAifQ==</vt:lpwstr>
  </property>
</Properties>
</file>