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0B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福田区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政协六届四次会议第2024089号提案《关于文旅商促经济的建议》的回复</w:t>
      </w:r>
    </w:p>
    <w:p w14:paraId="37DAB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3D697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朱丽芳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委员：</w:t>
      </w:r>
    </w:p>
    <w:p w14:paraId="145A2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您好！您在福田区政协六届四次会议第2024089号提案《关于文旅商促经济的建议》已收悉。首先感谢您对福田区文旅商促经济的关心和重视，所提建议具有重要的参考价值和指导意义，现将办理情况答复如下：</w:t>
      </w:r>
    </w:p>
    <w:p w14:paraId="3417D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一、工作开展情况</w:t>
      </w:r>
    </w:p>
    <w:p w14:paraId="3CBA77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（一）文化场景构建，带动人流商流</w:t>
      </w:r>
    </w:p>
    <w:p w14:paraId="143B8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一是打造节日大道，开拓文旅生活新方式。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2020年我区选址福华路打造“深圳节日大道”，将平安大厦、深圳福田星河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COCO Park、领展中心城、One Avenue卓悦中心、连城新天地 LINK CITY等商业综合体串珠成链，打造国内首个以节日文化为核心的公共文化街区，通过建成“网红大道”“文艺大道”“消费大道”“创新大道”，构建大湾区时尚文旅消费目的地、深圳国际消费中心核心区。近年来，深圳节日大道着力“宣”扩影响、“文”增流量、“旅”聚人气、“商”增效益，年均开展活动超1000场次，重点商圈客流达约7000万人次。深圳节日大道和街区各大商圈联动下，一系列活动的效果慢慢显现，开展的“深潮文化节”“福田咖啡生活消费节”“港·潮流”购物节、云上星空音乐会、“第六届深圳非遗周主会场暨四海一家大巡游”“龙宝福狮庆新春大巡游”“观唐·悦赏—唐服艺术大秀”等现象级事件火爆出圈，开拓了独属于深圳人的一种新的生活空间、新的生活方式。深圳节日大道获评2022年度获得深圳年度夜间经济“十大地标”之首，2023年获评中国旅游创业创新范例60佳（政企合作范例），2023年和2024年连续两年获评“大湾区旅游业十优推介大奖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二是推出“福气家族”，打造福田旅游代言人。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我区推出了以红树林“先锋精神”为灵感的“福气家族”旅游卡通IP形象，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结合福田区自有自然资源和城市定位，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以猕猴、黑脸琵鹭、招潮蟹、水獭等福田“原居民”为原型，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形成了包括“福气”“福鹭”“福獭”“福潮”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家族成员的IP体系，并不断衍生动画、文创等产品，形成IP矩阵。“福气家族”以红树精神为内核，是福田生态文明、文化旅游、好客精神的具象化代表，一经推出即广受好评，目前已广泛运用于对外宣传、活动代言、文创产品等领域。</w:t>
      </w:r>
    </w:p>
    <w:p w14:paraId="051BF4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（二）优质内容产出，提升福田文旅影响力</w:t>
      </w:r>
    </w:p>
    <w:p w14:paraId="3423B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一是打造专业内容传播队伍。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每周定期召开业务分享会，邀请专家学者开展专题讲座，讲授《新媒体原创经验》《热点话题怎么说》以及《新闻媒体如何讲好“中国故事”》等课程，提高采编人员专业素质，增加优质内容产出。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二是联动各方打造爆款宣推产品。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与香港阿龙、深圳李乐等粤港澳达人共创《香港人去华强北惊呆了》等华强北系列视频作品10余部，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吸引境内外旅客前来福田游玩消费。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邀请网红博主“新疆茅姐”创作的华强北打卡视频，抖音浏览量达4000万，引发网友热议“外地人逛华强北是什么体验”，连续多日登上抖音深圳热榜第1名，成为假日宣传现象级案例。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三是围绕福田标志元素创作作品。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围绕莲花山公园、市民广场灯光秀、节日大道等福田标志元素创作美景、美物、美丽城区相关作品，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并在TIKTOK“Fancy Futian”、youtube“Yo Futian”等外宣账号发布，助力福田城区形象在国际舞台打响知名度。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创作的繁花景色系列视频火爆出圈，作品《我的爱为你盛开》获区主要领导点赞。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围绕主流商圈推送视频和推文。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CoCopark、卓越中心等福田主流商圈策划打卡视频10余部，推送免费巴士、酒店优惠、商家折扣等主题视频、推文，为福田商圈提供优质推介作品及购物消费指南。其中《春节逛商圈 精彩在福田》以香港游客视角展现福田商圈魅力，受到群众好评。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五是围绕重大节日进行节日活动系列宣传。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春节、五一、端午等重大节日精心推出活动系列视频50余部，宣传节日期间福田的重要活动、重点商圈、重磅促销等内容，吸引港澳及海外游客来福田度假消费。其中，大年初五龙宝福狮庆新春大巡游直播吸引线上观众30万+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六是做好重大文旅活动宣介。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博会、高交会、莲花山草地音乐节、当代戏剧双年展、“四海一家”非遗巡游等文旅活动宣传推介。2024年助力福田时尚企业“扬帆出海”，全媒体宣传福田女装品牌首次进入米兰、巴黎时装周，创新剪辑短小、精美的10秒微视频系列作品10余部，联动协调美联社、Fox News等622家国际知名媒体全量推广，传播总覆盖量2.31亿人次。</w:t>
      </w:r>
    </w:p>
    <w:p w14:paraId="109434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（三）基础建设强化，发挥文旅最大价值</w:t>
      </w:r>
    </w:p>
    <w:p w14:paraId="7C3C2D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一是加推政策支持引导文旅场所提升国际化品质。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我区正在研究加推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《深圳市福田区支持文旅产业高质量发展若干措施》，内容涵盖四条旅游促消费措施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。其中“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提升文旅消费环境国际化品质支持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”明确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福田区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旅游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景点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景区、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住宿业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酒店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文化场所、体育场馆等市场主体，新建或提升多语种旅游咨询区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（台）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、多语种标识标牌系统、行李寄存设备等国际化、便利化、多语种消费服务设施，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给予支持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二是提升语言国际化环境建设和服务。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以来，福田区开展一系列工作提升国际化环境建设及服务。牵头开展6轮外文公示语排查纠错行动，覆盖全区10个街道内政府部门办公场所、政务服务场所、公共交通枢纽、医疗机构、文体场馆、商圈等约3.8万处公共场所外文标识。其中，针对皇岗口岸、福田口岸、福田高铁站等重点区域开展了2轮专项排查。推动5大商圈和“安心餐厅”门店设计“双语菜单”，已覆盖500余个商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聚焦机场、口岸、高铁等外籍人士“落地首站”，设置外国人服务点摆放双语宣传材料、扩大外语标识服务面、提高周边商圈“双语菜单”覆盖率，在福田区打造全市一批示范点。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三是便利港人开通专线直达商圈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福田区于2024年2月10日起组织深圳巴士集团在周末及节假日（含香港节假日）开行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“福田欢乐购”口岸商圈免费接驳专线，覆盖印力中心（山姆会员商店）、KK ONE、中洲湾、卓悦中心等主要商圈，为来深消费人群提供快捷直达公交服务，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提升港人、国外游客等来深旅游消费的交通体验。</w:t>
      </w:r>
    </w:p>
    <w:p w14:paraId="3FF8B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二、下一步工作思路</w:t>
      </w:r>
    </w:p>
    <w:p w14:paraId="5E9C6F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（一）持续升级打造节日大道。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构建“网红大道”“艺术大道”“消费大道”“创新大道”打造节日大道3.0版。一是牵头相关单位推动街区软硬件微改造，达成“夜色更靓，街区更美”。二是开展高品质文化艺术活动增强街区文化内核，以中华传统节日文化为核心，“一个主题”串联全年，N场活动“众星拱月”，打造“世界人民节日朝圣地”。三是深度推进文化融合行动，联动出台政策，激励商圈引进首展和首店，打造深圳节日大道文商旅融合体。四是创新机制，充分发挥政府资源配置优势，撬动社会力量专业优势，激发商家创富立业动能，构建高效便捷的沟通协调联动机制，合力推动深圳节日大道高质量发展。</w:t>
      </w:r>
    </w:p>
    <w:p w14:paraId="730121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（二）打造华强北街区文旅产业消费标杆。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联合各单位，围绕四季不同特色，月月不同主题，周周不同特点，品牌化组织大型节点活动，常态化组织中型系列活动，不间断组织小型特色活动，进一步夯实华强北主街特色时尚、科技、文化活动体系。二是进一步加快文旅产业、商业载体资源导入，打造中心城区具有文化氛围的开放式商业街区。</w:t>
      </w:r>
    </w:p>
    <w:p w14:paraId="70C8F7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（三）实施“微短剧精品工程”，坚持内容原创和科技应用并重，着力提升高品质内容供给能力。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依托算力、视觉设计等技术产业优势，积极招引AIGC头部企业，推动广播电视传输与互联网传输服务、云计算、人工智能等深度融合发展项目落地，加速内容创新。二是探索建立跨界合作机制，鼓励游戏、动漫、文学等领域的IP与微短剧制作企业合作，充分挖掘华强北创业故事等的福田元素特色内容，增强故事吸引力。</w:t>
      </w:r>
    </w:p>
    <w:p w14:paraId="74935D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（四）打造福田都市型沉浸式全域旅游示范区。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进一步整合全区文旅资源。搭建政企交流平台，强化旅游行业企业间沟通，建设福田旅游小程序，通过线上线下平台整合全区各类资源开展旅游推介，建立常态化的文旅商资讯发布推介机制，持续拉动旅游热度。二是旅游亮点特色产品再提升。联动红胖子巴士，串联华强北、中心公园等辖区内标志性景点，推出具有福田特色的联动游套票等旅游产品。三是建立多层次的线路体系。加强与小红书、大众点评、抖音等社交平台合作，开发多样化旅游线路，为游客提供多元选择。发动旅行社结合市场需求，推出亲子游、红色游、研学游、商务游等，积极打造福田都市旅游品牌，全面提升福田旅游综合竞争力。</w:t>
      </w:r>
    </w:p>
    <w:p w14:paraId="77F622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（五）打造游客服务中心。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福田口岸、皇岗口岸、福田高铁站等外籍游客“来深第一站”打造游客服务中心，以此为依托开辟福田旅游宣传新阵地，同时为旅客提供多语种旅游咨询和指引等服务，持续完善福田旅游公共服务设施建设，强化福田入境旅游氛围营造。</w:t>
      </w:r>
    </w:p>
    <w:p w14:paraId="73563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特此回复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3F9C1C7D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075D9B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6CB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福田区文化广电旅游体育局</w:t>
      </w:r>
    </w:p>
    <w:p w14:paraId="44E45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2024年9月20日</w:t>
      </w:r>
    </w:p>
    <w:p w14:paraId="42E76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0369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433366-F590-4F8A-B89B-F69A182BFC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8C041BF-6D96-4E0E-98E5-45B930BADAB0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C06888-4D27-435C-82F3-70DFC871299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F232519-A8DF-43F0-8107-BFE6FF0230C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4AEEA79-2995-4FC9-A71B-EFAC6652D271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96142128-8C57-4F98-8D07-F7D6E6AD7D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E953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19A7B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119A7B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jcxMWI3Y2VlZWVkMGU4NzM0MDI1MmUzZWM3NTAifQ=="/>
  </w:docVars>
  <w:rsids>
    <w:rsidRoot w:val="00172A27"/>
    <w:rsid w:val="00BE642D"/>
    <w:rsid w:val="07E95504"/>
    <w:rsid w:val="07F95057"/>
    <w:rsid w:val="0B0E6F3B"/>
    <w:rsid w:val="0BF3115D"/>
    <w:rsid w:val="0E66613A"/>
    <w:rsid w:val="17D4040A"/>
    <w:rsid w:val="1F1C5A98"/>
    <w:rsid w:val="23BC3453"/>
    <w:rsid w:val="25C8578A"/>
    <w:rsid w:val="272C39B8"/>
    <w:rsid w:val="2BED09C1"/>
    <w:rsid w:val="320436AD"/>
    <w:rsid w:val="35212AED"/>
    <w:rsid w:val="3A59587E"/>
    <w:rsid w:val="3AB70D14"/>
    <w:rsid w:val="3B1A27B6"/>
    <w:rsid w:val="3D8A670D"/>
    <w:rsid w:val="3F2EB3C8"/>
    <w:rsid w:val="48EA066C"/>
    <w:rsid w:val="4B31054D"/>
    <w:rsid w:val="4DFF9652"/>
    <w:rsid w:val="50523EF6"/>
    <w:rsid w:val="50903205"/>
    <w:rsid w:val="51D13AD5"/>
    <w:rsid w:val="534962DD"/>
    <w:rsid w:val="53570FA5"/>
    <w:rsid w:val="54093EE4"/>
    <w:rsid w:val="57212E09"/>
    <w:rsid w:val="5D771A6C"/>
    <w:rsid w:val="601259E5"/>
    <w:rsid w:val="60AE737D"/>
    <w:rsid w:val="624D0F56"/>
    <w:rsid w:val="6337668C"/>
    <w:rsid w:val="679118E5"/>
    <w:rsid w:val="69FB238F"/>
    <w:rsid w:val="6AD80F64"/>
    <w:rsid w:val="6B2F557C"/>
    <w:rsid w:val="6EFF4E79"/>
    <w:rsid w:val="6FD0181C"/>
    <w:rsid w:val="6FDF3D47"/>
    <w:rsid w:val="70AA26E9"/>
    <w:rsid w:val="75F54893"/>
    <w:rsid w:val="78F55AC8"/>
    <w:rsid w:val="79083885"/>
    <w:rsid w:val="7A317952"/>
    <w:rsid w:val="7A634169"/>
    <w:rsid w:val="7DD71546"/>
    <w:rsid w:val="7F5F1EA6"/>
    <w:rsid w:val="B7BF9D79"/>
    <w:rsid w:val="DB7BEE56"/>
    <w:rsid w:val="EB425E21"/>
    <w:rsid w:val="F9BB66D4"/>
    <w:rsid w:val="FBB704F1"/>
    <w:rsid w:val="FD4F46CD"/>
    <w:rsid w:val="FEEF30A2"/>
    <w:rsid w:val="FEF7820C"/>
    <w:rsid w:val="FF7FB15A"/>
    <w:rsid w:val="FFDFFAA6"/>
    <w:rsid w:val="FFED6CBE"/>
    <w:rsid w:val="FFFEAAC1"/>
    <w:rsid w:val="FFFFC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next w:val="1"/>
    <w:unhideWhenUsed/>
    <w:qFormat/>
    <w:uiPriority w:val="99"/>
    <w:pPr>
      <w:widowControl w:val="0"/>
      <w:ind w:left="29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qFormat/>
    <w:uiPriority w:val="0"/>
    <w:pPr>
      <w:widowControl w:val="0"/>
      <w:jc w:val="center"/>
    </w:pPr>
    <w:rPr>
      <w:rFonts w:ascii="宋体" w:hAnsi="Calibri" w:eastAsia="宋体" w:cs="Times New Roman"/>
      <w:kern w:val="2"/>
      <w:sz w:val="44"/>
      <w:szCs w:val="24"/>
      <w:lang w:val="en-US" w:eastAsia="zh-CN" w:bidi="ar-SA"/>
    </w:rPr>
  </w:style>
  <w:style w:type="paragraph" w:styleId="6">
    <w:name w:val="Plain Text"/>
    <w:basedOn w:val="1"/>
    <w:next w:val="4"/>
    <w:qFormat/>
    <w:uiPriority w:val="0"/>
    <w:pPr>
      <w:widowControl w:val="0"/>
      <w:jc w:val="both"/>
    </w:pPr>
    <w:rPr>
      <w:rFonts w:ascii="Calibri" w:hAnsi="Courier New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p17"/>
    <w:qFormat/>
    <w:uiPriority w:val="0"/>
    <w:pPr>
      <w:widowControl/>
      <w:ind w:firstLine="63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paragraph" w:customStyle="1" w:styleId="14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/>
      <w:kern w:val="2"/>
      <w:sz w:val="21"/>
    </w:rPr>
  </w:style>
  <w:style w:type="paragraph" w:customStyle="1" w:styleId="15">
    <w:name w:val="_Style 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3334</Words>
  <Characters>3470</Characters>
  <Lines>0</Lines>
  <Paragraphs>0</Paragraphs>
  <TotalTime>13</TotalTime>
  <ScaleCrop>false</ScaleCrop>
  <LinksUpToDate>false</LinksUpToDate>
  <CharactersWithSpaces>3532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2019-12-01T06:42:00Z</dcterms:created>
  <dc:creator>nxh</dc:creator>
  <cp:lastModifiedBy>GHH</cp:lastModifiedBy>
  <dcterms:modified xsi:type="dcterms:W3CDTF">2025-01-15T01:48:18Z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3DD4488084040519A9C48067DE0E2A4C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