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keepNext w:val="0"/>
        <w:keepLines w:val="0"/>
        <w:widowControl w:val="0"/>
        <w:kinsoku/>
        <w:wordWrap/>
        <w:overflowPunct/>
        <w:topLinePunct w:val="0"/>
        <w:autoSpaceDE/>
        <w:autoSpaceDN/>
        <w:bidi w:val="0"/>
        <w:adjustRightInd/>
        <w:snapToGrid/>
        <w:textAlignment w:val="auto"/>
        <w:pageBreakBefore w:val="0"/>
        <w:spacing w:line="560" w:lineRule="exact"/>
        <w:rPr>
          <w:lang w:val="en-US" w:eastAsia="zh-CN"/>
          <w:rFonts w:ascii="黑体" w:cs="黑体" w:eastAsia="黑体" w:hAnsi="黑体" w:hint="eastAsia"/>
          <w:sz w:val="32"/>
          <w:szCs w:val="32"/>
        </w:rPr>
      </w:pPr>
    </w:p>
    <w:p>
      <w:pPr>
        <w:widowControl/>
        <w:outlineLvl w:val="1"/>
        <w:jc w:val="center"/>
        <w:ind w:firstLine="0"/>
        <w:spacing w:line="400" w:lineRule="exact"/>
        <w:rPr>
          <w:rFonts w:ascii="方正小标宋简体" w:cs="方正小标宋简体" w:eastAsia="方正小标宋简体" w:hAnsi="方正小标宋简体"/>
          <w:sz w:val="36"/>
          <w:szCs w:val="36"/>
        </w:rPr>
      </w:pPr>
      <w:r>
        <w:rPr>
          <w:rFonts w:ascii="方正小标宋简体" w:cs="方正小标宋简体" w:eastAsia="方正小标宋简体" w:hAnsi="方正小标宋简体" w:hint="eastAsia"/>
          <w:sz w:val="36"/>
          <w:szCs w:val="36"/>
        </w:rPr>
        <w:t>采购项目需求方案</w:t>
      </w:r>
      <w:bookmarkStart w:id="0" w:name="_GoBack"/>
      <w:bookmarkEnd w:id="0"/>
    </w:p>
    <w:p>
      <w:pPr>
        <w:widowControl w:val="0"/>
        <w:jc w:val="both"/>
        <w:ind w:firstLine="420"/>
        <w:spacing w:line="240" w:lineRule="auto"/>
        <w:rPr>
          <w:kern w:val="2"/>
          <w:lang w:val="en-US" w:eastAsia="zh-CN" w:bidi="ar-SA"/>
          <w:rFonts w:ascii="Calibri" w:hAnsiTheme="minorHAnsi" w:eastAsiaTheme="minorEastAsia" w:cstheme="minorBidi"/>
          <w:sz w:val="21"/>
          <w:szCs w:val="24"/>
        </w:rPr>
      </w:pPr>
    </w:p>
    <w:tbl>
      <w:tblPr>
        <w:tblW w:w="5000" w:type="pct"/>
        <w:tblLayout w:type="autofit"/>
        <w:tblCellMar>
          <w:top w:w="0" w:type="dxa"/>
          <w:left w:w="108" w:type="dxa"/>
          <w:bottom w:w="0" w:type="dxa"/>
          <w:right w:w="108" w:type="dxa"/>
        </w:tblCellMar>
        <w:tblInd w:w="0" w:type="dxa"/>
        <w:tblStyle w:val="7"/>
      </w:tblPr>
      <w:tblGrid>
        <w:gridCol w:w="988"/>
        <w:gridCol w:w="2707"/>
        <w:gridCol w:w="1877"/>
        <w:gridCol w:w="1720"/>
        <w:gridCol w:w="2108"/>
      </w:tblGrid>
      <w:tr>
        <w:trPr>
          <w:trHeight w:val="567" w:hRule="exact"/>
        </w:trPr>
        <w:tblPrEx>
          <w:tblCellMar>
            <w:top w:w="0" w:type="dxa"/>
            <w:left w:w="108" w:type="dxa"/>
            <w:bottom w:w="0" w:type="dxa"/>
            <w:right w:w="108" w:type="dxa"/>
          </w:tblCellMar>
        </w:tblPrEx>
        <w:tc>
          <w:tcPr>
            <w:noWrap/>
            <w:tcBorders>
              <w:top w:val="single" w:sz="4" w:color="auto" w:space="0"/>
              <w:bottom w:val="single" w:sz="4" w:color="auto" w:space="0"/>
              <w:left w:val="single" w:sz="4" w:color="auto" w:space="0"/>
              <w:right w:val="single" w:sz="4" w:color="auto" w:space="0"/>
            </w:tcBorders>
            <w:shd w:fill="auto" w:color="auto" w:val="clear"/>
            <w:vAlign w:val="center"/>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项目名称</w:t>
            </w:r>
          </w:p>
        </w:tc>
        <w:tc>
          <w:tcPr>
            <w:noWrap/>
            <w:gridSpan w:val="2"/>
            <w:tcBorders>
              <w:top w:val="single" w:sz="4" w:color="auto" w:space="0"/>
              <w:bottom w:val="single" w:sz="4" w:color="auto" w:space="0"/>
              <w:left w:val="nil" w:sz="0" w:color="auto" w:space="0"/>
              <w:right w:val="single" w:sz="4" w:color="000000" w:space="0"/>
            </w:tcBorders>
            <w:shd w:fill="auto" w:color="auto" w:val="clear"/>
            <w:vAlign w:val="center"/>
            <w:tcW w:w="2283" w:type="pct"/>
          </w:tcPr>
          <w:p>
            <w:pPr>
              <w:widowControl/>
              <w:jc w:val="center"/>
              <w:ind w:firstLine="0"/>
              <w:spacing w:line="240" w:lineRule="auto"/>
              <w:rPr>
                <w:bCs/>
                <w:kern w:val="0"/>
                <w:b/>
                <w:rFonts w:ascii="仿宋_GB2312" w:cs="仿宋_GB2312" w:eastAsia="仿宋_GB2312" w:hAnsi="仿宋_GB2312"/>
                <w:sz w:val="24"/>
              </w:rPr>
            </w:pPr>
            <w:r>
              <w:rPr>
                <w:kern w:val="0"/>
                <w:rFonts w:ascii="仿宋_GB2312" w:cs="仿宋_GB2312" w:eastAsia="仿宋_GB2312" w:hAnsi="仿宋_GB2312" w:hint="eastAsia"/>
                <w:sz w:val="24"/>
              </w:rPr>
              <w:t>　购买福保街道2025年一社区一法律顾问服务项目</w:t>
            </w:r>
          </w:p>
        </w:tc>
        <w:tc>
          <w:tcPr>
            <w:noWrap/>
            <w:tcBorders>
              <w:top w:val="single" w:sz="4" w:color="auto" w:space="0"/>
              <w:bottom w:val="single" w:sz="4" w:color="auto" w:space="0"/>
              <w:left w:val="nil" w:sz="0" w:color="auto" w:space="0"/>
              <w:right w:val="single" w:sz="4" w:color="auto" w:space="0"/>
            </w:tcBorders>
            <w:shd w:fill="auto" w:color="auto" w:val="clear"/>
            <w:vAlign w:val="center"/>
            <w:tcW w:w="931"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预算金额</w:t>
            </w:r>
          </w:p>
        </w:tc>
        <w:tc>
          <w:tcPr>
            <w:noWrap/>
            <w:tcBorders>
              <w:top w:val="single" w:sz="4" w:color="auto" w:space="0"/>
              <w:bottom w:val="single" w:sz="4" w:color="auto" w:space="0"/>
              <w:left w:val="nil" w:sz="0" w:color="auto" w:space="0"/>
              <w:right w:val="single" w:sz="4" w:color="auto" w:space="0"/>
            </w:tcBorders>
            <w:shd w:fill="auto" w:color="auto" w:val="clear"/>
            <w:vAlign w:val="center"/>
            <w:tcW w:w="1147" w:type="pct"/>
          </w:tcPr>
          <w:p>
            <w:pPr>
              <w:widowControl/>
              <w:jc w:val="left"/>
              <w:ind w:firstLine="0"/>
              <w:spacing w:line="240" w:lineRule="auto"/>
              <w:rPr>
                <w:kern w:val="0"/>
                <w:lang w:val="en-US" w:eastAsia="zh-CN"/>
                <w:rFonts w:ascii="仿宋_GB2312" w:cs="仿宋_GB2312" w:eastAsia="仿宋_GB2312" w:hAnsi="仿宋_GB2312" w:hint="default"/>
                <w:sz w:val="24"/>
              </w:rPr>
            </w:pPr>
            <w:r>
              <w:rPr>
                <w:kern w:val="0"/>
                <w:lang w:val="en-US" w:eastAsia="zh-CN"/>
                <w:rFonts w:ascii="仿宋_GB2312" w:cs="仿宋_GB2312" w:eastAsia="仿宋_GB2312" w:hAnsi="仿宋_GB2312" w:hint="eastAsia"/>
                <w:sz w:val="24"/>
              </w:rPr>
              <w:t>20万元</w:t>
            </w:r>
          </w:p>
        </w:tc>
      </w:tr>
      <w:tr>
        <w:trPr>
          <w:trHeight w:val="56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shd w:fill="auto" w:color="auto" w:val="clear"/>
            <w:vAlign w:val="center"/>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采购部门</w:t>
            </w:r>
          </w:p>
        </w:tc>
        <w:tc>
          <w:tcPr>
            <w:noWrap/>
            <w:gridSpan w:val="2"/>
            <w:tcBorders>
              <w:top w:val="single" w:sz="4" w:color="auto" w:space="0"/>
              <w:bottom w:val="single" w:sz="4" w:color="auto" w:space="0"/>
              <w:left w:val="nil" w:sz="0" w:color="auto" w:space="0"/>
              <w:right w:val="single" w:sz="4" w:color="000000" w:space="0"/>
            </w:tcBorders>
            <w:shd w:fill="auto" w:color="auto" w:val="clear"/>
            <w:vAlign w:val="center"/>
            <w:tcW w:w="2283" w:type="pct"/>
          </w:tcPr>
          <w:p>
            <w:pPr>
              <w:widowControl/>
              <w:jc w:val="center"/>
              <w:ind w:firstLine="0"/>
              <w:spacing w:line="240" w:lineRule="auto"/>
              <w:rPr>
                <w:bCs/>
                <w:kern w:val="0"/>
                <w:lang w:val="en-US" w:eastAsia="zh-CN"/>
                <w:b/>
                <w:rFonts w:ascii="仿宋_GB2312" w:cs="仿宋_GB2312" w:eastAsia="仿宋_GB2312" w:hAnsi="仿宋_GB2312" w:hint="default"/>
                <w:sz w:val="24"/>
              </w:rPr>
            </w:pPr>
            <w:r>
              <w:rPr>
                <w:kern w:val="0"/>
                <w:lang w:eastAsia="zh-CN"/>
                <w:rFonts w:ascii="仿宋_GB2312" w:cs="仿宋_GB2312" w:eastAsia="仿宋_GB2312" w:hAnsi="仿宋_GB2312" w:hint="eastAsia"/>
                <w:sz w:val="24"/>
              </w:rPr>
              <w:t>平安法治办（司法所）</w:t>
            </w:r>
          </w:p>
        </w:tc>
        <w:tc>
          <w:tcPr>
            <w:noWrap/>
            <w:tcBorders>
              <w:top w:val="nil" w:sz="0" w:color="auto" w:space="0"/>
              <w:bottom w:val="single" w:sz="4" w:color="auto" w:space="0"/>
              <w:left w:val="nil" w:sz="0" w:color="auto" w:space="0"/>
              <w:right w:val="single" w:sz="4" w:color="auto" w:space="0"/>
            </w:tcBorders>
            <w:shd w:fill="auto" w:color="auto" w:val="clear"/>
            <w:vAlign w:val="center"/>
            <w:tcW w:w="931"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项目经办人</w:t>
            </w:r>
          </w:p>
        </w:tc>
        <w:tc>
          <w:tcPr>
            <w:noWrap/>
            <w:tcBorders>
              <w:top w:val="nil" w:sz="0" w:color="auto" w:space="0"/>
              <w:bottom w:val="single" w:sz="4" w:color="auto" w:space="0"/>
              <w:left w:val="nil" w:sz="0" w:color="auto" w:space="0"/>
              <w:right w:val="single" w:sz="4" w:color="auto" w:space="0"/>
            </w:tcBorders>
            <w:shd w:fill="auto" w:color="auto" w:val="clear"/>
            <w:vAlign w:val="center"/>
            <w:tcW w:w="1147" w:type="pct"/>
          </w:tcPr>
          <w:p>
            <w:pPr>
              <w:widowControl/>
              <w:jc w:val="left"/>
              <w:ind w:firstLine="0"/>
              <w:spacing w:line="240" w:lineRule="auto"/>
              <w:rPr>
                <w:kern w:val="0"/>
                <w:lang w:eastAsia="zh-CN"/>
                <w:rFonts w:ascii="仿宋_GB2312" w:cs="仿宋_GB2312" w:eastAsia="仿宋_GB2312" w:hAnsi="仿宋_GB2312" w:hint="eastAsia"/>
                <w:sz w:val="24"/>
              </w:rPr>
            </w:pPr>
            <w:r>
              <w:rPr>
                <w:kern w:val="0"/>
                <w:lang w:eastAsia="zh-CN"/>
                <w:rFonts w:ascii="仿宋_GB2312" w:cs="仿宋_GB2312" w:eastAsia="仿宋_GB2312" w:hAnsi="仿宋_GB2312" w:hint="eastAsia"/>
                <w:sz w:val="24"/>
              </w:rPr>
              <w:t>何嘉敏</w:t>
            </w:r>
          </w:p>
        </w:tc>
      </w:tr>
      <w:tr>
        <w:trPr>
          <w:trHeight w:val="240" w:hRule="atLeas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shd w:fill="auto" w:color="auto" w:val="clear"/>
            <w:vAlign w:val="center"/>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采购类型</w:t>
            </w:r>
          </w:p>
        </w:tc>
        <w:tc>
          <w:tcPr>
            <w:noWrap/>
            <w:tcBorders>
              <w:top w:val="single" w:sz="4" w:color="auto" w:space="0"/>
              <w:bottom w:val="single" w:sz="4" w:color="auto" w:space="0"/>
              <w:left w:val="nil" w:sz="0" w:color="auto" w:space="0"/>
              <w:right w:val="single" w:sz="4" w:color="auto" w:space="0"/>
            </w:tcBorders>
            <w:shd w:fill="auto" w:color="auto" w:val="clear"/>
            <w:vAlign w:val="center"/>
            <w:tcW w:w="1352" w:type="pct"/>
          </w:tcPr>
          <w:p>
            <w:pPr>
              <w:widowControl/>
              <w:jc w:val="center"/>
              <w:ind w:firstLine="0"/>
              <w:spacing w:line="240" w:lineRule="auto"/>
              <w:rPr>
                <w:kern w:val="0"/>
                <w:rFonts w:ascii="仿宋_GB2312" w:cs="仿宋_GB2312" w:eastAsia="仿宋_GB2312" w:hAnsi="仿宋_GB2312"/>
                <w:sz w:val="24"/>
              </w:rPr>
            </w:pPr>
            <w:r>
              <w:rPr>
                <w:bCs/>
                <w:kern w:val="0"/>
                <w:lang w:eastAsia="zh-CN"/>
                <w:b/>
                <w:rFonts w:ascii="仿宋_GB2312" w:cs="仿宋_GB2312" w:eastAsia="仿宋_GB2312" w:hAnsi="仿宋_GB2312" w:hint="eastAsia"/>
                <w:sz w:val="24"/>
              </w:rPr>
              <w:t>☑</w:t>
            </w:r>
            <w:r>
              <w:rPr>
                <w:bCs/>
                <w:kern w:val="0"/>
                <w:b/>
                <w:rFonts w:ascii="仿宋_GB2312" w:cs="仿宋_GB2312" w:eastAsia="仿宋_GB2312" w:hAnsi="仿宋_GB2312" w:hint="eastAsia"/>
                <w:sz w:val="24"/>
              </w:rPr>
              <w:t>服务类</w:t>
            </w:r>
            <w:r>
              <w:rPr>
                <w:kern w:val="0"/>
                <w:rFonts w:ascii="仿宋_GB2312" w:cs="仿宋_GB2312" w:eastAsia="仿宋_GB2312" w:hAnsi="仿宋_GB2312" w:hint="eastAsia"/>
                <w:sz w:val="24"/>
              </w:rPr>
              <w:t>　</w:t>
            </w:r>
          </w:p>
          <w:p>
            <w:pPr>
              <w:widowControl/>
              <w:jc w:val="center"/>
              <w:ind w:firstLine="0"/>
              <w:spacing w:line="240" w:lineRule="auto"/>
              <w:rPr>
                <w:kern w:val="0"/>
                <w:rFonts w:ascii="仿宋_GB2312" w:cs="仿宋_GB2312" w:eastAsia="仿宋_GB2312" w:hAnsi="仿宋_GB2312"/>
                <w:sz w:val="24"/>
              </w:rPr>
            </w:pPr>
            <w:r>
              <w:rPr>
                <w:bCs/>
                <w:kern w:val="0"/>
                <w:b/>
                <w:rFonts w:ascii="仿宋_GB2312" w:cs="仿宋_GB2312" w:eastAsia="仿宋_GB2312" w:hAnsi="仿宋_GB2312" w:hint="eastAsia"/>
                <w:sz w:val="24"/>
              </w:rPr>
              <w:t>□货物类</w:t>
            </w:r>
            <w:r>
              <w:rPr>
                <w:kern w:val="0"/>
                <w:rFonts w:ascii="仿宋_GB2312" w:cs="仿宋_GB2312" w:eastAsia="仿宋_GB2312" w:hAnsi="仿宋_GB2312" w:hint="eastAsia"/>
                <w:sz w:val="24"/>
              </w:rPr>
              <w:t>　</w:t>
            </w:r>
          </w:p>
          <w:p>
            <w:pPr>
              <w:widowControl/>
              <w:jc w:val="center"/>
              <w:ind w:firstLine="0"/>
              <w:spacing w:line="240" w:lineRule="auto"/>
              <w:rPr>
                <w:kern w:val="0"/>
                <w:rFonts w:ascii="仿宋_GB2312" w:cs="仿宋_GB2312" w:eastAsia="仿宋_GB2312" w:hAnsi="仿宋_GB2312"/>
                <w:sz w:val="24"/>
              </w:rPr>
            </w:pPr>
            <w:r>
              <w:rPr>
                <w:bCs/>
                <w:kern w:val="0"/>
                <w:b/>
                <w:rFonts w:ascii="仿宋_GB2312" w:cs="仿宋_GB2312" w:eastAsia="仿宋_GB2312" w:hAnsi="仿宋_GB2312" w:hint="eastAsia"/>
                <w:sz w:val="24"/>
              </w:rPr>
              <w:t>□工程类</w:t>
            </w:r>
          </w:p>
        </w:tc>
        <w:tc>
          <w:tcPr>
            <w:tcBorders>
              <w:top w:val="single" w:sz="4" w:color="auto" w:space="0"/>
              <w:bottom w:val="single" w:sz="4" w:color="auto" w:space="0"/>
              <w:left w:val="nil" w:sz="0" w:color="auto" w:space="0"/>
              <w:right w:val="single" w:sz="4" w:color="auto" w:space="0"/>
            </w:tcBorders>
            <w:vAlign w:val="center"/>
            <w:tcW w:w="931"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采购方式</w:t>
            </w:r>
          </w:p>
        </w:tc>
        <w:tc>
          <w:tcPr>
            <w:noWrap/>
            <w:gridSpan w:val="2"/>
            <w:tcBorders>
              <w:top w:val="single" w:sz="4" w:color="auto" w:space="0"/>
              <w:bottom w:val="single" w:sz="4" w:color="auto" w:space="0"/>
              <w:left w:val="single" w:sz="4" w:color="auto" w:space="0"/>
              <w:right w:val="single" w:sz="4" w:color="auto" w:space="0"/>
            </w:tcBorders>
            <w:shd w:fill="auto" w:color="auto" w:val="clear"/>
            <w:vAlign w:val="center"/>
            <w:tcW w:w="2078" w:type="pct"/>
          </w:tcPr>
          <w:p>
            <w:pPr>
              <w:widowControl/>
              <w:jc w:val="left"/>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□直接确定供应商（3万元以下）</w:t>
            </w:r>
            <w:r>
              <w:rPr>
                <w:bCs/>
                <w:kern w:val="0"/>
                <w:b/>
                <w:rFonts w:ascii="仿宋_GB2312" w:cs="仿宋_GB2312" w:eastAsia="仿宋_GB2312" w:hAnsi="仿宋_GB2312" w:hint="eastAsia"/>
                <w:sz w:val="24"/>
              </w:rPr>
              <w:sym w:font="Wingdings 2" w:char="00A3"/>
            </w:r>
            <w:r>
              <w:rPr>
                <w:bCs/>
                <w:kern w:val="0"/>
                <w:b/>
                <w:rFonts w:ascii="仿宋_GB2312" w:cs="仿宋_GB2312" w:eastAsia="仿宋_GB2312" w:hAnsi="仿宋_GB2312" w:hint="eastAsia"/>
                <w:sz w:val="24"/>
              </w:rPr>
              <w:t>询价</w:t>
            </w:r>
          </w:p>
          <w:p>
            <w:pPr>
              <w:widowControl/>
              <w:jc w:val="left"/>
              <w:ind w:firstLine="0"/>
              <w:spacing w:line="240" w:lineRule="auto"/>
              <w:rPr>
                <w:kern w:val="0"/>
                <w:rFonts w:ascii="仿宋_GB2312" w:cs="仿宋_GB2312" w:eastAsia="仿宋_GB2312" w:hAnsi="仿宋_GB2312"/>
                <w:sz w:val="24"/>
              </w:rPr>
            </w:pPr>
            <w:r>
              <w:rPr>
                <w:bCs/>
                <w:kern w:val="0"/>
                <w:b/>
                <w:rFonts w:ascii="仿宋_GB2312" w:cs="仿宋_GB2312" w:eastAsia="仿宋_GB2312" w:hAnsi="仿宋_GB2312" w:hint="eastAsia"/>
                <w:sz w:val="24"/>
              </w:rPr>
              <w:t xml:space="preserve">□直接确定供应商（特殊）   </w:t>
            </w:r>
            <w:r>
              <w:rPr>
                <w:bCs/>
                <w:kern w:val="0"/>
                <w:lang w:eastAsia="zh-CN"/>
                <w:b/>
                <w:rFonts w:ascii="仿宋_GB2312" w:cs="仿宋_GB2312" w:eastAsia="仿宋_GB2312" w:hAnsi="仿宋_GB2312" w:hint="eastAsia"/>
                <w:sz w:val="24"/>
              </w:rPr>
              <w:t>☑</w:t>
            </w:r>
            <w:r>
              <w:rPr>
                <w:bCs/>
                <w:kern w:val="0"/>
                <w:b/>
                <w:rFonts w:ascii="仿宋_GB2312" w:cs="仿宋_GB2312" w:eastAsia="仿宋_GB2312" w:hAnsi="仿宋_GB2312" w:hint="eastAsia"/>
                <w:sz w:val="24"/>
              </w:rPr>
              <w:t>比价谈判</w:t>
            </w:r>
          </w:p>
        </w:tc>
      </w:tr>
      <w:tr>
        <w:trPr>
          <w:trHeight w:val="680" w:hRule="atLeas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shd w:fill="auto" w:color="auto" w:val="clear"/>
            <w:vAlign w:val="center"/>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项目背景</w:t>
            </w:r>
          </w:p>
        </w:tc>
        <w:tc>
          <w:tcPr>
            <w:gridSpan w:val="4"/>
            <w:tcBorders>
              <w:top w:val="single" w:sz="4" w:color="auto" w:space="0"/>
              <w:bottom w:val="single" w:sz="4" w:color="auto" w:space="0"/>
              <w:left w:val="nil" w:sz="0" w:color="auto" w:space="0"/>
              <w:right w:val="single" w:sz="4" w:color="auto" w:space="0"/>
            </w:tcBorders>
            <w:tcW w:w="4361" w:type="pct"/>
          </w:tcPr>
          <w:p>
            <w:pPr>
              <w:keepNext w:val="0"/>
              <w:keepLines w:val="0"/>
              <w:widowControl/>
              <w:suppressLineNumbers w:val="0"/>
              <w:kinsoku/>
              <w:wordWrap/>
              <w:overflowPunct/>
              <w:topLinePunct w:val="0"/>
              <w:autoSpaceDE/>
              <w:autoSpaceDN/>
              <w:bidi w:val="0"/>
              <w:adjustRightInd/>
              <w:snapToGrid/>
              <w:textAlignment w:val="auto"/>
              <w:pStyle w:val="6"/>
              <w:jc w:val="left"/>
              <w:ind w:right="0"/>
              <w:ind w:firstLine="480"/>
              <w:pageBreakBefore w:val="0"/>
              <w:spacing w:before="0" w:beforeAutospacing="0" w:after="0" w:afterAutospacing="0" w:line="560" w:lineRule="exact"/>
              <w:rPr>
                <w:kern w:val="0"/>
                <w:rFonts w:ascii="仿宋_GB2312" w:cs="仿宋_GB2312" w:eastAsia="仿宋_GB2312" w:hAnsi="仿宋_GB2312"/>
                <w:sz w:val="24"/>
              </w:rPr>
            </w:pPr>
            <w:r>
              <w:rPr>
                <w:kern w:val="0"/>
                <w:lang w:val="en-US" w:eastAsia="zh-CN" w:bidi="ar-SA"/>
                <w:rFonts w:ascii="仿宋_GB2312" w:cs="仿宋_GB2312" w:eastAsia="仿宋_GB2312" w:hAnsi="仿宋_GB2312" w:hint="eastAsia"/>
                <w:sz w:val="24"/>
                <w:szCs w:val="24"/>
              </w:rPr>
              <w:t>根据《广东省司法厅关于进一步做好一村(社区)一法律顾问工作的意见》，为进一步提升社区公共法律服务质量，丰富法律服务内容，拓宽法律服务渠道。现拟聘请社会法律机构，为福保街道辖区5个社区提供社区法律顾问服务。</w:t>
            </w:r>
          </w:p>
        </w:tc>
      </w:tr>
      <w:tr>
        <w:trPr>
          <w:trHeight w:val="712" w:hRule="atLeas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shd w:fill="auto" w:color="auto" w:val="clear"/>
            <w:vAlign w:val="center"/>
            <w:vMerge w:val="restart"/>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项目需求</w:t>
            </w:r>
          </w:p>
        </w:tc>
        <w:tc>
          <w:tcPr>
            <w:gridSpan w:val="4"/>
            <w:tcBorders>
              <w:top w:val="single" w:sz="4" w:color="auto" w:space="0"/>
              <w:bottom w:val="single" w:sz="4" w:color="auto" w:space="0"/>
              <w:left w:val="nil" w:sz="0" w:color="auto" w:space="0"/>
              <w:right w:val="single" w:sz="4" w:color="auto" w:space="0"/>
            </w:tcBorders>
            <w:tcW w:w="4361" w:type="pct"/>
          </w:tcPr>
          <w:p>
            <w:pPr>
              <w:widowControl/>
              <w:jc w:val="left"/>
              <w:ind w:firstLine="0"/>
              <w:spacing w:line="360" w:lineRule="auto"/>
              <w:rPr>
                <w:kern w:val="0"/>
                <w:rFonts w:ascii="仿宋_GB2312" w:cs="仿宋_GB2312" w:eastAsia="仿宋_GB2312" w:hAnsi="仿宋_GB2312" w:hint="eastAsia"/>
                <w:sz w:val="24"/>
              </w:rPr>
            </w:pPr>
            <w:r>
              <w:rPr>
                <w:kern w:val="0"/>
                <w:rFonts w:ascii="仿宋_GB2312" w:cs="仿宋_GB2312" w:eastAsia="仿宋_GB2312" w:hAnsi="仿宋_GB2312" w:hint="eastAsia"/>
                <w:sz w:val="24"/>
              </w:rPr>
              <w:t>项目技术要求：</w:t>
            </w:r>
          </w:p>
          <w:p>
            <w:pPr>
              <w:widowControl/>
              <w:pStyle w:val="6"/>
              <w:ind w:left="0"/>
              <w:ind w:right="0"/>
              <w:ind w:firstLine="470"/>
              <w:spacing w:before="0" w:beforeAutospacing="0" w:after="0" w:afterAutospacing="0" w:line="420" w:lineRule="exact"/>
              <w:rPr>
                <w:kern w:val="0"/>
                <w:lang w:val="en-US" w:eastAsia="zh-CN" w:bidi="ar-SA"/>
                <w:color w:val="auto"/>
                <w:rFonts w:ascii="仿宋_GB2312" w:cs="仿宋_GB2312" w:eastAsia="仿宋_GB2312" w:hAnsi="仿宋_GB2312" w:hint="eastAsia"/>
                <w:sz w:val="24"/>
                <w:szCs w:val="24"/>
              </w:rPr>
            </w:pPr>
            <w:r>
              <w:rPr>
                <w:kern w:val="0"/>
                <w:lang w:eastAsia="zh-CN"/>
                <w:rFonts w:ascii="仿宋_GB2312" w:cs="仿宋_GB2312" w:eastAsia="仿宋_GB2312" w:hAnsi="仿宋_GB2312" w:hint="eastAsia"/>
                <w:sz w:val="24"/>
              </w:rPr>
              <w:t>中标供应商</w:t>
            </w:r>
            <w:r>
              <w:rPr>
                <w:kern w:val="0"/>
                <w:lang w:val="en-US" w:eastAsia="zh-CN" w:bidi="ar-SA"/>
                <w:rFonts w:ascii="仿宋_GB2312" w:cs="仿宋_GB2312" w:eastAsia="仿宋_GB2312" w:hAnsi="仿宋_GB2312" w:hint="eastAsia"/>
                <w:sz w:val="24"/>
                <w:szCs w:val="24"/>
              </w:rPr>
              <w:t>指派本所执业律师进驻福保街道司法所，由司法所委派至福保街道新港</w:t>
            </w:r>
            <w:r>
              <w:rPr>
                <w:kern w:val="0"/>
                <w:lang w:val="en-US" w:eastAsia="zh-CN" w:bidi="ar-SA"/>
                <w:color w:val="auto"/>
                <w:rFonts w:ascii="仿宋_GB2312" w:cs="仿宋_GB2312" w:eastAsia="仿宋_GB2312" w:hAnsi="仿宋_GB2312" w:hint="eastAsia"/>
                <w:sz w:val="24"/>
                <w:szCs w:val="24"/>
              </w:rPr>
              <w:t>、福保、明月、石厦、益田社区党群服务中心，与街道共同推进社区法律服务站建设工作及开展法律“五进社区”（法制宣传进社区、法律咨询进社区、法律代理进社区、法律援助进社区、专业调解进社区）活动。双方共同开展法律进社区活动的形式包括：法制宣传、法律咨询、法律知识讲座、协助开展人民调解、法律文书制作、担任法律顾问以及其他法律服务项目等。具体如下：</w:t>
            </w:r>
          </w:p>
          <w:p>
            <w:pPr>
              <w:widowControl/>
              <w:pStyle w:val="6"/>
              <w:ind w:left="0"/>
              <w:ind w:right="0"/>
              <w:ind w:firstLine="470"/>
              <w:spacing w:before="0" w:beforeAutospacing="0" w:after="0" w:afterAutospacing="0" w:line="420" w:lineRule="exact"/>
              <w:rPr>
                <w:kern w:val="0"/>
                <w:lang w:val="en-US" w:eastAsia="zh-CN" w:bidi="ar-SA"/>
                <w:color w:val="auto"/>
                <w:rFonts w:ascii="仿宋_GB2312" w:cs="仿宋_GB2312" w:eastAsia="仿宋_GB2312" w:hAnsi="仿宋_GB2312" w:hint="eastAsia"/>
                <w:sz w:val="24"/>
                <w:szCs w:val="24"/>
              </w:rPr>
            </w:pPr>
            <w:r>
              <w:rPr>
                <w:kern w:val="0"/>
                <w:lang w:val="en-US" w:eastAsia="zh-CN" w:bidi="ar-SA"/>
                <w:color w:val="auto"/>
                <w:rFonts w:ascii="仿宋_GB2312" w:cs="仿宋_GB2312" w:eastAsia="仿宋_GB2312" w:hAnsi="仿宋_GB2312" w:hint="eastAsia"/>
                <w:sz w:val="24"/>
                <w:szCs w:val="24"/>
              </w:rPr>
              <w:t>指定律师服务派驻社区党群服务中心，开展相关的法制宣传、法律讲座、法律咨询、纠纷调解等系列活动；中标供应商可采用印制“服务联系卡”，或公开律师咨询热线电话、微信号码等方式，方便社区居民向律师寻求法律帮助；</w:t>
            </w:r>
          </w:p>
          <w:p>
            <w:pPr>
              <w:widowControl/>
              <w:pStyle w:val="6"/>
              <w:ind w:right="0"/>
              <w:spacing w:before="0" w:beforeAutospacing="0" w:after="0" w:afterAutospacing="0" w:line="420" w:lineRule="exact"/>
              <w:rPr>
                <w:kern w:val="0"/>
                <w:lang w:val="en-US" w:eastAsia="zh-CN" w:bidi="ar-SA"/>
                <w:color w:val="auto"/>
                <w:rFonts w:ascii="仿宋_GB2312" w:cs="仿宋_GB2312" w:eastAsia="仿宋_GB2312" w:hAnsi="仿宋_GB2312" w:hint="eastAsia"/>
                <w:sz w:val="24"/>
                <w:szCs w:val="24"/>
              </w:rPr>
            </w:pPr>
            <w:r>
              <w:rPr>
                <w:kern w:val="0"/>
                <w:lang w:val="en-US" w:eastAsia="zh-CN" w:bidi="ar-SA"/>
                <w:color w:val="auto"/>
                <w:rFonts w:ascii="仿宋_GB2312" w:cs="仿宋_GB2312" w:eastAsia="仿宋_GB2312" w:hAnsi="仿宋_GB2312" w:hint="eastAsia"/>
                <w:sz w:val="24"/>
                <w:szCs w:val="24"/>
              </w:rPr>
              <w:t>（一）法律咨询方面：1.工作时间内及时回复社区工作人员以及居民的电话、短信、微信咨询，次数不限；2.确有必要提供现场咨询的，经社区提前安排或居民预约可提供现场咨询；3.根据街道的指派，为辖区困难弱势群众提供法律援助服务；为辖区居民提供文书代写服务。</w:t>
            </w:r>
          </w:p>
          <w:p>
            <w:pPr>
              <w:keepNext w:val="0"/>
              <w:keepLines w:val="0"/>
              <w:widowControl/>
              <w:suppressLineNumbers w:val="0"/>
              <w:textAlignment w:val="center"/>
              <w:jc w:val="left"/>
              <w:spacing w:line="360" w:lineRule="auto"/>
              <w:rPr>
                <w:kern w:val="0"/>
                <w:lang w:val="en-US" w:eastAsia="zh-CN" w:bidi="ar-SA"/>
                <w:color w:val="auto"/>
                <w:rFonts w:ascii="仿宋_GB2312" w:cs="仿宋_GB2312" w:eastAsia="仿宋_GB2312" w:hAnsi="仿宋_GB2312" w:hint="default"/>
                <w:sz w:val="24"/>
                <w:szCs w:val="24"/>
              </w:rPr>
            </w:pPr>
            <w:r>
              <w:rPr>
                <w:kern w:val="0"/>
                <w:lang w:val="en-US" w:eastAsia="zh-CN" w:bidi="ar-SA"/>
                <w:color w:val="auto"/>
                <w:rFonts w:ascii="仿宋_GB2312" w:cs="仿宋_GB2312" w:eastAsia="仿宋_GB2312" w:hAnsi="仿宋_GB2312" w:hint="eastAsia"/>
                <w:sz w:val="24"/>
                <w:szCs w:val="24"/>
              </w:rPr>
              <w:t>（二）人民调解方面：1.社区党群服务中心向法律顾问预约现场人民调解的，法律顾问应当配合参加并协助调解；2.以多元化形式协助社区党群服务中心组织人民调解，向当事人讲解相关法律规定，提供法律建议；3.协助社区撰写典型调解案例；4.根据街道要求为社区工作人员、人民调解员提供法律知识培训；</w:t>
            </w:r>
          </w:p>
          <w:p>
            <w:pPr>
              <w:widowControl/>
              <w:pStyle w:val="6"/>
              <w:ind w:right="0"/>
              <w:spacing w:before="0" w:beforeAutospacing="0" w:after="0" w:afterAutospacing="0" w:line="360" w:lineRule="auto"/>
              <w:rPr>
                <w:kern w:val="0"/>
                <w:lang w:val="en-US" w:eastAsia="zh-CN" w:bidi="ar-SA"/>
                <w:color w:val="auto"/>
                <w:rFonts w:ascii="仿宋_GB2312" w:cs="仿宋_GB2312" w:eastAsia="仿宋_GB2312" w:hAnsi="仿宋_GB2312" w:hint="eastAsia"/>
                <w:sz w:val="24"/>
                <w:szCs w:val="24"/>
              </w:rPr>
            </w:pPr>
            <w:r>
              <w:rPr>
                <w:kern w:val="0"/>
                <w:lang w:val="en-US" w:eastAsia="zh-CN" w:bidi="ar-SA"/>
                <w:color w:val="auto"/>
                <w:rFonts w:ascii="仿宋_GB2312" w:cs="仿宋_GB2312" w:eastAsia="仿宋_GB2312" w:hAnsi="仿宋_GB2312" w:hint="eastAsia"/>
                <w:sz w:val="24"/>
                <w:szCs w:val="24"/>
              </w:rPr>
              <w:t>（三）法治宣传方面：举办贴近社区工作和居民生活的法治宣传活动，例如法律讲座、户外普法摊位，向社区工作人员及社区居民普及法律知识，每季度每社区不得少于1次，形式不限。</w:t>
            </w:r>
          </w:p>
          <w:p>
            <w:pPr>
              <w:widowControl/>
              <w:pStyle w:val="6"/>
              <w:ind w:right="0"/>
              <w:spacing w:before="0" w:beforeAutospacing="0" w:after="0" w:afterAutospacing="0" w:line="360" w:lineRule="auto"/>
              <w:rPr>
                <w:kern w:val="0"/>
                <w:lang w:val="en-US" w:eastAsia="zh-CN" w:bidi="ar-SA"/>
                <w:color w:val="auto"/>
                <w:rFonts w:ascii="仿宋_GB2312" w:cs="仿宋_GB2312" w:eastAsia="仿宋_GB2312" w:hAnsi="仿宋_GB2312" w:hint="eastAsia"/>
                <w:sz w:val="24"/>
                <w:szCs w:val="24"/>
              </w:rPr>
            </w:pPr>
            <w:r>
              <w:rPr>
                <w:kern w:val="0"/>
                <w:lang w:val="en-US" w:eastAsia="zh-CN" w:bidi="ar-SA"/>
                <w:color w:val="auto"/>
                <w:rFonts w:ascii="仿宋_GB2312" w:cs="仿宋_GB2312" w:eastAsia="仿宋_GB2312" w:hAnsi="仿宋_GB2312" w:hint="eastAsia"/>
                <w:sz w:val="24"/>
                <w:szCs w:val="24"/>
              </w:rPr>
              <w:t>（四）社区驻场方面：前往社区党群服务中心或社区指定地点（辖区内）驻场，处理法律事务，接待社区组织、企业及居民来访或解答法律咨询，每月每社区至少驻场8小时，可根据社区需求和实际情况合理调整驻场时间。当月已参加现场调解、提供现场咨询、协助现场接访、参加法治宣传活动或驻场值班等现场服务的，均计入社区驻场时间。</w:t>
            </w:r>
          </w:p>
          <w:p>
            <w:pPr>
              <w:ind w:firstLine="480"/>
              <w:spacing w:line="420" w:lineRule="exact"/>
              <w:rPr>
                <w:kern w:val="0"/>
                <w:rFonts w:ascii="仿宋_GB2312" w:cs="仿宋_GB2312" w:eastAsia="仿宋_GB2312" w:hAnsi="仿宋_GB2312"/>
                <w:sz w:val="24"/>
              </w:rPr>
            </w:pPr>
            <w:r>
              <w:rPr>
                <w:kern w:val="0"/>
                <w:lang w:val="en-US" w:eastAsia="zh-CN" w:bidi="ar-SA"/>
                <w:color w:val="auto"/>
                <w:rFonts w:ascii="仿宋_GB2312" w:cs="仿宋_GB2312" w:eastAsia="仿宋_GB2312" w:hAnsi="仿宋_GB2312" w:hint="eastAsia"/>
                <w:sz w:val="24"/>
                <w:szCs w:val="24"/>
              </w:rPr>
              <w:t>（五）其他法律事务：参加社区召开的会议、协助草拟信访答复等其他法律事务；协助街道派驻社区党群服务中心处置及疏导辖区内的突发群体性事件；为街道派驻社区党群服务中心提供具体法律意见或建议；其他与街道派驻社区党群服务中心有关的涉法事务。</w:t>
            </w:r>
          </w:p>
        </w:tc>
      </w:tr>
      <w:tr>
        <w:trPr>
          <w:trHeight w:val="3070" w:hRule="atLeas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gridSpan w:val="4"/>
            <w:tcBorders>
              <w:top w:val="single" w:sz="4" w:color="auto" w:space="0"/>
              <w:bottom w:val="single" w:sz="4" w:color="auto" w:space="0"/>
              <w:left w:val="nil" w:sz="0" w:color="auto" w:space="0"/>
              <w:right w:val="single" w:sz="4" w:color="auto" w:space="0"/>
            </w:tcBorders>
            <w:tcW w:w="4361" w:type="pct"/>
          </w:tcPr>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项目商务要求：</w:t>
            </w:r>
          </w:p>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1.服务期限：202</w:t>
            </w:r>
            <w:r>
              <w:rPr>
                <w:kern w:val="0"/>
                <w:lang w:val="en-US" w:eastAsia="zh-CN"/>
                <w:rFonts w:ascii="仿宋_GB2312" w:cs="仿宋_GB2312" w:eastAsia="仿宋_GB2312" w:hAnsi="仿宋_GB2312" w:hint="eastAsia"/>
                <w:sz w:val="24"/>
              </w:rPr>
              <w:t>5</w:t>
            </w:r>
            <w:r>
              <w:rPr>
                <w:kern w:val="0"/>
                <w:rFonts w:ascii="仿宋_GB2312" w:cs="仿宋_GB2312" w:eastAsia="仿宋_GB2312" w:hAnsi="仿宋_GB2312" w:hint="eastAsia"/>
                <w:sz w:val="24"/>
              </w:rPr>
              <w:t>年1月</w:t>
            </w:r>
            <w:r>
              <w:rPr>
                <w:kern w:val="0"/>
                <w:lang w:val="en-US" w:eastAsia="zh-CN"/>
                <w:rFonts w:ascii="仿宋_GB2312" w:cs="仿宋_GB2312" w:eastAsia="仿宋_GB2312" w:hAnsi="仿宋_GB2312" w:hint="eastAsia"/>
                <w:sz w:val="24"/>
              </w:rPr>
              <w:t>1</w:t>
            </w:r>
            <w:r>
              <w:rPr>
                <w:kern w:val="0"/>
                <w:rFonts w:ascii="仿宋_GB2312" w:cs="仿宋_GB2312" w:eastAsia="仿宋_GB2312" w:hAnsi="仿宋_GB2312" w:hint="eastAsia"/>
                <w:sz w:val="24"/>
              </w:rPr>
              <w:t>日起至202</w:t>
            </w:r>
            <w:r>
              <w:rPr>
                <w:kern w:val="0"/>
                <w:lang w:val="en-US" w:eastAsia="zh-CN"/>
                <w:rFonts w:ascii="仿宋_GB2312" w:cs="仿宋_GB2312" w:eastAsia="仿宋_GB2312" w:hAnsi="仿宋_GB2312" w:hint="eastAsia"/>
                <w:sz w:val="24"/>
              </w:rPr>
              <w:t>5</w:t>
            </w:r>
            <w:r>
              <w:rPr>
                <w:kern w:val="0"/>
                <w:rFonts w:ascii="仿宋_GB2312" w:cs="仿宋_GB2312" w:eastAsia="仿宋_GB2312" w:hAnsi="仿宋_GB2312" w:hint="eastAsia"/>
                <w:sz w:val="24"/>
              </w:rPr>
              <w:t>年12月31日止。</w:t>
            </w:r>
          </w:p>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2.付款方式：</w:t>
            </w:r>
          </w:p>
          <w:p>
            <w:pPr>
              <w:widowControl/>
              <w:jc w:val="left"/>
              <w:ind w:firstLine="0"/>
              <w:spacing w:line="240" w:lineRule="auto"/>
              <w:rPr>
                <w:kern w:val="0"/>
                <w:lang w:val="en-US" w:eastAsia="zh-CN" w:bidi="ar-SA"/>
                <w:rFonts w:ascii="仿宋_GB2312" w:cs="仿宋_GB2312" w:eastAsia="仿宋_GB2312" w:hAnsi="仿宋_GB2312" w:hint="eastAsia"/>
                <w:sz w:val="24"/>
                <w:szCs w:val="24"/>
              </w:rPr>
            </w:pPr>
            <w:r>
              <w:rPr>
                <w:kern w:val="0"/>
                <w:rFonts w:ascii="仿宋_GB2312" w:cs="仿宋_GB2312" w:eastAsia="仿宋_GB2312" w:hAnsi="仿宋_GB2312" w:hint="eastAsia"/>
                <w:sz w:val="24"/>
              </w:rPr>
              <w:t>分期付款：合同签订后，中标供应商提供符合规定的发票，街道办</w:t>
            </w:r>
            <w:r>
              <w:rPr>
                <w:kern w:val="0"/>
                <w:lang w:val="en-US" w:eastAsia="zh-CN"/>
                <w:rFonts w:ascii="仿宋_GB2312" w:cs="仿宋_GB2312" w:eastAsia="仿宋_GB2312" w:hAnsi="仿宋_GB2312" w:hint="eastAsia"/>
                <w:sz w:val="24"/>
              </w:rPr>
              <w:t>1个月</w:t>
            </w:r>
            <w:r>
              <w:rPr>
                <w:kern w:val="0"/>
                <w:rFonts w:ascii="仿宋_GB2312" w:cs="仿宋_GB2312" w:eastAsia="仿宋_GB2312" w:hAnsi="仿宋_GB2312" w:hint="eastAsia"/>
                <w:sz w:val="24"/>
              </w:rPr>
              <w:t>内支付合同总额的</w:t>
            </w:r>
            <w:r>
              <w:rPr>
                <w:kern w:val="0"/>
                <w:lang w:val="en-US" w:eastAsia="zh-CN"/>
                <w:rFonts w:ascii="仿宋_GB2312" w:cs="仿宋_GB2312" w:eastAsia="仿宋_GB2312" w:hAnsi="仿宋_GB2312" w:hint="eastAsia"/>
                <w:sz w:val="24"/>
              </w:rPr>
              <w:t>30</w:t>
            </w:r>
            <w:r>
              <w:rPr>
                <w:kern w:val="0"/>
                <w:rFonts w:ascii="仿宋_GB2312" w:cs="仿宋_GB2312" w:eastAsia="仿宋_GB2312" w:hAnsi="仿宋_GB2312" w:hint="eastAsia"/>
                <w:sz w:val="24"/>
              </w:rPr>
              <w:t>%；</w:t>
            </w:r>
            <w:r>
              <w:rPr>
                <w:kern w:val="0"/>
                <w:lang w:eastAsia="zh-CN"/>
                <w:rFonts w:ascii="仿宋_GB2312" w:cs="仿宋_GB2312" w:eastAsia="仿宋_GB2312" w:hAnsi="仿宋_GB2312" w:hint="eastAsia"/>
                <w:sz w:val="24"/>
              </w:rPr>
              <w:t>合同</w:t>
            </w:r>
            <w:r>
              <w:rPr>
                <w:kern w:val="0"/>
                <w:lang w:val="en-US" w:eastAsia="zh-CN" w:bidi="ar-SA"/>
                <w:rFonts w:ascii="仿宋_GB2312" w:cs="仿宋_GB2312" w:eastAsia="仿宋_GB2312" w:hAnsi="仿宋_GB2312" w:hint="eastAsia"/>
                <w:sz w:val="24"/>
                <w:szCs w:val="24"/>
              </w:rPr>
              <w:t>履行至2025年7月1日，</w:t>
            </w:r>
            <w:r>
              <w:rPr>
                <w:kern w:val="0"/>
                <w:rFonts w:ascii="仿宋_GB2312" w:cs="仿宋_GB2312" w:eastAsia="仿宋_GB2312" w:hAnsi="仿宋_GB2312" w:hint="eastAsia"/>
                <w:sz w:val="24"/>
              </w:rPr>
              <w:t>中标供应商提供符合规定的发票，街道办</w:t>
            </w:r>
            <w:r>
              <w:rPr>
                <w:kern w:val="0"/>
                <w:lang w:val="en-US" w:eastAsia="zh-CN"/>
                <w:rFonts w:ascii="仿宋_GB2312" w:cs="仿宋_GB2312" w:eastAsia="仿宋_GB2312" w:hAnsi="仿宋_GB2312" w:hint="eastAsia"/>
                <w:sz w:val="24"/>
              </w:rPr>
              <w:t>1个月</w:t>
            </w:r>
            <w:r>
              <w:rPr>
                <w:kern w:val="0"/>
                <w:rFonts w:ascii="仿宋_GB2312" w:cs="仿宋_GB2312" w:eastAsia="仿宋_GB2312" w:hAnsi="仿宋_GB2312" w:hint="eastAsia"/>
                <w:sz w:val="24"/>
              </w:rPr>
              <w:t>内支付合同总额的</w:t>
            </w:r>
            <w:r>
              <w:rPr>
                <w:kern w:val="0"/>
                <w:lang w:val="en-US" w:eastAsia="zh-CN"/>
                <w:rFonts w:ascii="仿宋_GB2312" w:cs="仿宋_GB2312" w:eastAsia="仿宋_GB2312" w:hAnsi="仿宋_GB2312" w:hint="eastAsia"/>
                <w:sz w:val="24"/>
              </w:rPr>
              <w:t>30</w:t>
            </w:r>
            <w:r>
              <w:rPr>
                <w:kern w:val="0"/>
                <w:rFonts w:ascii="仿宋_GB2312" w:cs="仿宋_GB2312" w:eastAsia="仿宋_GB2312" w:hAnsi="仿宋_GB2312" w:hint="eastAsia"/>
                <w:sz w:val="24"/>
              </w:rPr>
              <w:t>%</w:t>
            </w:r>
            <w:r>
              <w:rPr>
                <w:kern w:val="0"/>
                <w:lang w:val="en-US" w:eastAsia="zh-CN" w:bidi="ar-SA"/>
                <w:rFonts w:ascii="仿宋_GB2312" w:cs="仿宋_GB2312" w:eastAsia="仿宋_GB2312" w:hAnsi="仿宋_GB2312" w:hint="eastAsia"/>
                <w:sz w:val="24"/>
                <w:szCs w:val="24"/>
              </w:rPr>
              <w:t>，如乙方第一、二季度履约情况的评分考核结果存在扣除服务费用情形，经双方确认后在本期应支付律师费中扣除；合同履行完毕，</w:t>
            </w:r>
            <w:r>
              <w:rPr>
                <w:kern w:val="0"/>
                <w:rFonts w:ascii="仿宋_GB2312" w:cs="仿宋_GB2312" w:eastAsia="仿宋_GB2312" w:hAnsi="仿宋_GB2312" w:hint="eastAsia"/>
                <w:sz w:val="24"/>
              </w:rPr>
              <w:t>中标供应商提供符合规定的发票，街道办</w:t>
            </w:r>
            <w:r>
              <w:rPr>
                <w:kern w:val="0"/>
                <w:lang w:val="en-US" w:eastAsia="zh-CN"/>
                <w:rFonts w:ascii="仿宋_GB2312" w:cs="仿宋_GB2312" w:eastAsia="仿宋_GB2312" w:hAnsi="仿宋_GB2312" w:hint="eastAsia"/>
                <w:sz w:val="24"/>
              </w:rPr>
              <w:t>1个月</w:t>
            </w:r>
            <w:r>
              <w:rPr>
                <w:kern w:val="0"/>
                <w:rFonts w:ascii="仿宋_GB2312" w:cs="仿宋_GB2312" w:eastAsia="仿宋_GB2312" w:hAnsi="仿宋_GB2312" w:hint="eastAsia"/>
                <w:sz w:val="24"/>
              </w:rPr>
              <w:t>内支付合同总额的</w:t>
            </w:r>
            <w:r>
              <w:rPr>
                <w:kern w:val="0"/>
                <w:lang w:val="en-US" w:eastAsia="zh-CN"/>
                <w:rFonts w:ascii="仿宋_GB2312" w:cs="仿宋_GB2312" w:eastAsia="仿宋_GB2312" w:hAnsi="仿宋_GB2312" w:hint="eastAsia"/>
                <w:sz w:val="24"/>
              </w:rPr>
              <w:t>40</w:t>
            </w:r>
            <w:r>
              <w:rPr>
                <w:kern w:val="0"/>
                <w:rFonts w:ascii="仿宋_GB2312" w:cs="仿宋_GB2312" w:eastAsia="仿宋_GB2312" w:hAnsi="仿宋_GB2312" w:hint="eastAsia"/>
                <w:sz w:val="24"/>
              </w:rPr>
              <w:t>%</w:t>
            </w:r>
            <w:r>
              <w:rPr>
                <w:kern w:val="0"/>
                <w:lang w:val="en-US" w:eastAsia="zh-CN" w:bidi="ar-SA"/>
                <w:rFonts w:ascii="仿宋_GB2312" w:cs="仿宋_GB2312" w:eastAsia="仿宋_GB2312" w:hAnsi="仿宋_GB2312" w:hint="eastAsia"/>
                <w:sz w:val="24"/>
                <w:szCs w:val="24"/>
              </w:rPr>
              <w:t>，如乙方第三、四季度履约情况的评分考核结果存在扣除服务费用情形，经双方确认后在尾款律师费中扣除。）</w:t>
            </w:r>
          </w:p>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3.报价要求：本次招标要求投标人提交书面报价，不接受口头报价。</w:t>
            </w:r>
          </w:p>
          <w:p>
            <w:pPr>
              <w:widowControl/>
              <w:jc w:val="left"/>
              <w:ind w:firstLine="0"/>
              <w:spacing w:line="240" w:lineRule="auto"/>
              <w:rPr>
                <w:kern w:val="0"/>
                <w:lang w:eastAsia="zh-CN"/>
                <w:rFonts w:ascii="仿宋_GB2312" w:cs="仿宋_GB2312" w:eastAsia="仿宋_GB2312" w:hAnsi="仿宋_GB2312" w:hint="eastAsia"/>
                <w:sz w:val="24"/>
              </w:rPr>
            </w:pPr>
            <w:r>
              <w:rPr>
                <w:kern w:val="0"/>
                <w:rFonts w:ascii="仿宋_GB2312" w:cs="仿宋_GB2312" w:eastAsia="仿宋_GB2312" w:hAnsi="仿宋_GB2312" w:hint="eastAsia"/>
                <w:sz w:val="24"/>
              </w:rPr>
              <w:t>4.违约责任</w:t>
            </w:r>
            <w:r>
              <w:rPr>
                <w:kern w:val="0"/>
                <w:lang w:eastAsia="zh-CN"/>
                <w:rFonts w:ascii="仿宋_GB2312" w:cs="仿宋_GB2312" w:eastAsia="仿宋_GB2312" w:hAnsi="仿宋_GB2312" w:hint="eastAsia"/>
                <w:sz w:val="24"/>
              </w:rPr>
              <w:t>：因一方违约导致协议不能履行的，违约方应向守约方支付协议总价的 20%作为违约金，实际损失高于协议总价 20%的，按照实际损失赔偿。因不可抗力导致协议不能履行的，双方均不承担责任。如因甲方财务审批流程导致未按时付款的，不视为甲方违约。</w:t>
            </w:r>
          </w:p>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5.其他</w:t>
            </w:r>
            <w:r>
              <w:rPr>
                <w:kern w:val="0"/>
                <w:lang w:eastAsia="zh-CN"/>
                <w:rFonts w:ascii="仿宋_GB2312" w:cs="仿宋_GB2312" w:eastAsia="仿宋_GB2312" w:hAnsi="仿宋_GB2312" w:hint="eastAsia"/>
                <w:sz w:val="24"/>
              </w:rPr>
              <w:t>：合同未尽之约定，由甲乙双方另行协商解决。</w:t>
            </w:r>
          </w:p>
          <w:p>
            <w:pPr>
              <w:widowControl/>
              <w:jc w:val="left"/>
              <w:ind w:firstLine="0"/>
              <w:spacing w:line="240" w:lineRule="auto"/>
              <w:rPr>
                <w:kern w:val="0"/>
                <w:rFonts w:ascii="仿宋_GB2312" w:cs="仿宋_GB2312" w:eastAsia="仿宋_GB2312" w:hAnsi="仿宋_GB2312"/>
                <w:sz w:val="24"/>
              </w:rPr>
            </w:pPr>
            <w:r>
              <w:rPr>
                <w:bCs/>
                <w:kern w:val="0"/>
                <w:lang w:val="en-US" w:eastAsia="zh-CN"/>
                <w:b/>
                <w:rFonts w:ascii="仿宋_GB2312" w:cs="仿宋_GB2312" w:eastAsia="仿宋_GB2312" w:hAnsi="仿宋_GB2312" w:hint="eastAsia"/>
                <w:sz w:val="24"/>
              </w:rPr>
              <w:t>备注：最终合同签订价格以我单位聘请的第三方审计价格为准。</w:t>
            </w:r>
          </w:p>
        </w:tc>
      </w:tr>
      <w:tr>
        <w:trPr>
          <w:trHeight w:val="1430"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shd w:fill="auto" w:color="auto" w:val="clear"/>
            <w:vAlign w:val="center"/>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投标人资质要求</w:t>
            </w:r>
          </w:p>
        </w:tc>
        <w:tc>
          <w:tcPr>
            <w:gridSpan w:val="4"/>
            <w:tcBorders>
              <w:top w:val="single" w:sz="4" w:color="auto" w:space="0"/>
              <w:bottom w:val="single" w:sz="4" w:color="auto" w:space="0"/>
              <w:left w:val="nil" w:sz="0" w:color="auto" w:space="0"/>
              <w:right w:val="single" w:sz="4" w:color="auto" w:space="0"/>
            </w:tcBorders>
            <w:tcW w:w="4361" w:type="pct"/>
          </w:tcPr>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1.具有独立法人资格或具有独立承担民事责任的能力的其它组织（提供营业执照或事业单位法人证等法人证明扫描件，原件备查）。</w:t>
            </w:r>
          </w:p>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2.本项目不接受联合体投标。</w:t>
            </w:r>
          </w:p>
          <w:p>
            <w:pPr>
              <w:widowControl/>
              <w:jc w:val="left"/>
              <w:ind w:firstLine="0"/>
              <w:spacing w:line="240" w:lineRule="auto"/>
              <w:rPr>
                <w:kern w:val="0"/>
                <w:rFonts w:ascii="仿宋_GB2312" w:cs="仿宋_GB2312" w:eastAsia="仿宋_GB2312" w:hAnsi="仿宋_GB2312"/>
                <w:sz w:val="24"/>
              </w:rPr>
            </w:pPr>
            <w:r>
              <w:rPr>
                <w:kern w:val="0"/>
                <w:rFonts w:ascii="仿宋_GB2312" w:cs="仿宋_GB2312" w:eastAsia="仿宋_GB2312" w:hAnsi="仿宋_GB2312" w:hint="eastAsia"/>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rPr>
          <w:trHeight w:val="1270" w:hRule="atLeast"/>
        </w:trPr>
        <w:tblPrEx>
          <w:tblCellMar>
            <w:top w:w="0" w:type="dxa"/>
            <w:left w:w="108" w:type="dxa"/>
            <w:bottom w:w="0" w:type="dxa"/>
            <w:right w:w="108" w:type="dxa"/>
          </w:tblCellMar>
        </w:tblPrEx>
        <w:tc>
          <w:tcPr>
            <w:tcBorders>
              <w:top w:val="nil" w:sz="0" w:color="auto" w:space="0"/>
              <w:bottom w:val="single" w:sz="4" w:color="auto" w:space="0"/>
              <w:left w:val="single" w:sz="4" w:color="auto" w:space="0"/>
              <w:right w:val="single" w:sz="4" w:color="auto" w:space="0"/>
            </w:tcBorders>
            <w:shd w:fill="auto" w:color="auto" w:val="clear"/>
            <w:vAlign w:val="center"/>
            <w:tcW w:w="639" w:type="pct"/>
          </w:tcPr>
          <w:p>
            <w:pPr>
              <w:widowControl/>
              <w:jc w:val="center"/>
              <w:ind w:firstLine="0"/>
              <w:spacing w:line="240" w:lineRule="auto"/>
              <w:rPr>
                <w:bCs/>
                <w:kern w:val="0"/>
                <w:b/>
                <w:rFonts w:ascii="仿宋_GB2312" w:cs="仿宋_GB2312" w:eastAsia="仿宋_GB2312" w:hAnsi="仿宋_GB2312"/>
                <w:sz w:val="24"/>
              </w:rPr>
            </w:pPr>
            <w:r>
              <w:rPr>
                <w:bCs/>
                <w:kern w:val="0"/>
                <w:b/>
                <w:rFonts w:ascii="仿宋_GB2312" w:cs="仿宋_GB2312" w:eastAsia="仿宋_GB2312" w:hAnsi="仿宋_GB2312" w:hint="eastAsia"/>
                <w:sz w:val="24"/>
              </w:rPr>
              <w:t>投标人需提供资料</w:t>
            </w:r>
          </w:p>
        </w:tc>
        <w:tc>
          <w:tcPr>
            <w:gridSpan w:val="4"/>
            <w:tcBorders>
              <w:top w:val="single" w:sz="4" w:color="auto" w:space="0"/>
              <w:bottom w:val="single" w:sz="4" w:color="auto" w:space="0"/>
              <w:left w:val="nil" w:sz="0" w:color="auto" w:space="0"/>
              <w:right w:val="single" w:sz="4" w:color="auto" w:space="0"/>
            </w:tcBorders>
            <w:tcW w:w="4361" w:type="pct"/>
          </w:tcPr>
          <w:p>
            <w:pPr>
              <w:rPr>
                <w:bCs w:val="0"/>
                <w:b w:val="0"/>
                <w:rFonts w:ascii="仿宋_GB2312" w:cs="仿宋_GB2312" w:eastAsia="仿宋_GB2312" w:hAnsi="仿宋_GB2312" w:hint="eastAsia"/>
              </w:rPr>
            </w:pPr>
            <w:r>
              <w:rPr>
                <w:bCs w:val="0"/>
                <w:b w:val="0"/>
                <w:rFonts w:ascii="仿宋_GB2312" w:cs="仿宋_GB2312" w:eastAsia="仿宋_GB2312" w:hAnsi="仿宋_GB2312" w:hint="eastAsia"/>
              </w:rPr>
              <w:t>1、营业执照、经营范围等相关资质复印件</w:t>
            </w:r>
            <w:r>
              <w:rPr>
                <w:bCs/>
                <w:b/>
                <w:rFonts w:ascii="仿宋_GB2312" w:cs="仿宋_GB2312" w:eastAsia="仿宋_GB2312" w:hAnsi="仿宋_GB2312" w:hint="eastAsia"/>
              </w:rPr>
              <w:t>(工程项目需提供建筑资质证书)</w:t>
            </w:r>
          </w:p>
          <w:p>
            <w:pPr>
              <w:rPr>
                <w:bCs w:val="0"/>
                <w:b w:val="0"/>
                <w:rFonts w:ascii="仿宋_GB2312" w:cs="仿宋_GB2312" w:eastAsia="仿宋_GB2312" w:hAnsi="仿宋_GB2312" w:hint="eastAsia"/>
              </w:rPr>
            </w:pPr>
            <w:r>
              <w:rPr>
                <w:bCs w:val="0"/>
                <w:lang w:val="en-US" w:eastAsia="zh-CN"/>
                <w:b w:val="0"/>
                <w:rFonts w:ascii="仿宋_GB2312" w:cs="仿宋_GB2312" w:eastAsia="仿宋_GB2312" w:hAnsi="仿宋_GB2312" w:hint="eastAsia"/>
              </w:rPr>
              <w:t>2、</w:t>
            </w:r>
            <w:r>
              <w:rPr>
                <w:bCs w:val="0"/>
                <w:b w:val="0"/>
                <w:rFonts w:ascii="仿宋_GB2312" w:cs="仿宋_GB2312" w:eastAsia="仿宋_GB2312" w:hAnsi="仿宋_GB2312" w:hint="eastAsia"/>
              </w:rPr>
              <w:t>投标报价单(须写出详实内容:包括但不限于价格</w:t>
            </w:r>
            <w:r>
              <w:rPr>
                <w:bCs w:val="0"/>
                <w:lang w:eastAsia="zh-CN"/>
                <w:b w:val="0"/>
                <w:rFonts w:ascii="仿宋_GB2312" w:cs="仿宋_GB2312" w:eastAsia="仿宋_GB2312" w:hAnsi="仿宋_GB2312" w:hint="eastAsia"/>
              </w:rPr>
              <w:t>、</w:t>
            </w:r>
            <w:r>
              <w:rPr>
                <w:bCs w:val="0"/>
                <w:b w:val="0"/>
                <w:rFonts w:ascii="仿宋_GB2312" w:cs="仿宋_GB2312" w:eastAsia="仿宋_GB2312" w:hAnsi="仿宋_GB2312" w:hint="eastAsia"/>
              </w:rPr>
              <w:t>服务项目、内容、服务人数等);</w:t>
            </w:r>
          </w:p>
          <w:p>
            <w:pPr>
              <w:rPr>
                <w:bCs w:val="0"/>
                <w:b w:val="0"/>
                <w:rFonts w:ascii="仿宋_GB2312" w:cs="仿宋_GB2312" w:eastAsia="仿宋_GB2312" w:hAnsi="仿宋_GB2312" w:hint="eastAsia"/>
              </w:rPr>
            </w:pPr>
            <w:r>
              <w:rPr>
                <w:bCs w:val="0"/>
                <w:b w:val="0"/>
                <w:rFonts w:ascii="仿宋_GB2312" w:cs="仿宋_GB2312" w:eastAsia="仿宋_GB2312" w:hAnsi="仿宋_GB2312" w:hint="eastAsia"/>
              </w:rPr>
              <w:t>3、对此项目的运营提供详细的服务方案;</w:t>
            </w:r>
          </w:p>
          <w:p>
            <w:pPr>
              <w:rPr>
                <w:bCs w:val="0"/>
                <w:b w:val="0"/>
                <w:rFonts w:ascii="仿宋_GB2312" w:cs="仿宋_GB2312" w:eastAsia="仿宋_GB2312" w:hAnsi="仿宋_GB2312" w:hint="eastAsia"/>
              </w:rPr>
            </w:pPr>
            <w:r>
              <w:rPr>
                <w:bCs w:val="0"/>
                <w:b w:val="0"/>
                <w:rFonts w:ascii="仿宋_GB2312" w:cs="仿宋_GB2312" w:eastAsia="仿宋_GB2312" w:hAnsi="仿宋_GB2312" w:hint="eastAsia"/>
              </w:rPr>
              <w:t>4、公司详细简介;</w:t>
            </w:r>
          </w:p>
          <w:p>
            <w:pPr>
              <w:rPr>
                <w:rFonts w:ascii="仿宋_GB2312" w:cs="仿宋_GB2312" w:eastAsia="仿宋_GB2312" w:hAnsi="仿宋_GB2312" w:hint="eastAsia"/>
              </w:rPr>
            </w:pPr>
            <w:r>
              <w:rPr>
                <w:rFonts w:ascii="仿宋_GB2312" w:cs="仿宋_GB2312" w:eastAsia="仿宋_GB2312" w:hAnsi="仿宋_GB2312" w:hint="eastAsia"/>
              </w:rPr>
              <w:t>5、项目相关案例、业绩等;</w:t>
            </w:r>
          </w:p>
          <w:p>
            <w:pPr>
              <w:rPr>
                <w:rFonts w:ascii="仿宋_GB2312" w:cs="仿宋_GB2312" w:eastAsia="仿宋_GB2312" w:hAnsi="仿宋_GB2312" w:hint="eastAsia"/>
              </w:rPr>
            </w:pPr>
            <w:r>
              <w:rPr>
                <w:rFonts w:ascii="仿宋_GB2312" w:cs="仿宋_GB2312" w:eastAsia="仿宋_GB2312" w:hAnsi="仿宋_GB2312" w:hint="eastAsia"/>
              </w:rPr>
              <w:t>6、近三年内无行贿犯罪记录、无重大违法经营记录的声明和不存在处于被禁止参与政府采购活动期限内情形的声明函(声明函格式自拟)</w:t>
            </w:r>
          </w:p>
          <w:p>
            <w:pPr>
              <w:rPr>
                <w:rFonts w:ascii="仿宋_GB2312" w:cs="仿宋_GB2312" w:eastAsia="仿宋_GB2312" w:hAnsi="仿宋_GB2312" w:hint="eastAsia"/>
              </w:rPr>
            </w:pPr>
            <w:r>
              <w:rPr>
                <w:rFonts w:ascii="仿宋_GB2312" w:cs="仿宋_GB2312" w:eastAsia="仿宋_GB2312" w:hAnsi="仿宋_GB2312" w:hint="eastAsia"/>
              </w:rPr>
              <w:t>7、可体现投标人综合实力及运营管理能力的其他资料</w:t>
            </w:r>
          </w:p>
          <w:p>
            <w:pPr>
              <w:rPr>
                <w:bCs/>
                <w:lang w:val="en-US" w:eastAsia="zh-CN"/>
                <w:b/>
                <w:rFonts w:ascii="仿宋_GB2312" w:cs="仿宋_GB2312" w:eastAsia="仿宋_GB2312" w:hAnsi="仿宋_GB2312" w:hint="eastAsia"/>
              </w:rPr>
            </w:pPr>
            <w:r>
              <w:rPr>
                <w:lang w:val="en-US" w:eastAsia="zh-CN"/>
                <w:rFonts w:ascii="仿宋_GB2312" w:cs="仿宋_GB2312" w:eastAsia="仿宋_GB2312" w:hAnsi="仿宋_GB2312" w:hint="eastAsia"/>
              </w:rPr>
              <w:t>8、</w:t>
            </w:r>
            <w:r>
              <w:rPr>
                <w:bCs/>
                <w:lang w:val="en-US" w:eastAsia="zh-CN"/>
                <w:b/>
                <w:rFonts w:ascii="仿宋_GB2312" w:cs="仿宋_GB2312" w:eastAsia="仿宋_GB2312" w:hAnsi="仿宋_GB2312" w:hint="eastAsia"/>
              </w:rPr>
              <w:t>投标文件需要有投标文件封面</w:t>
            </w:r>
          </w:p>
          <w:p>
            <w:pPr>
              <w:rPr>
                <w:rFonts w:ascii="仿宋_GB2312" w:cs="仿宋_GB2312" w:eastAsia="仿宋_GB2312" w:hAnsi="仿宋_GB2312" w:hint="eastAsia"/>
              </w:rPr>
            </w:pPr>
          </w:p>
          <w:p>
            <w:pPr>
              <w:rPr>
                <w:kern w:val="0"/>
                <w:rFonts w:ascii="仿宋_GB2312" w:cs="仿宋_GB2312" w:eastAsia="仿宋_GB2312" w:hAnsi="仿宋_GB2312"/>
                <w:sz w:val="24"/>
              </w:rPr>
            </w:pPr>
            <w:r>
              <w:rPr>
                <w:bCs/>
                <w:b/>
                <w:rFonts w:ascii="仿宋_GB2312" w:cs="仿宋_GB2312" w:eastAsia="仿宋_GB2312" w:hAnsi="仿宋_GB2312" w:hint="eastAsia"/>
              </w:rPr>
              <w:t>以上</w:t>
            </w:r>
            <w:r>
              <w:rPr>
                <w:bCs/>
                <w:b/>
                <w:highlight w:val="none"/>
                <w:rFonts w:ascii="仿宋_GB2312" w:cs="仿宋_GB2312" w:eastAsia="仿宋_GB2312" w:hAnsi="仿宋_GB2312" w:hint="eastAsia"/>
              </w:rPr>
              <w:t>文件均需每页加盖单位公章并</w:t>
            </w:r>
            <w:r>
              <w:rPr>
                <w:bCs/>
                <w:b/>
                <w:rFonts w:ascii="仿宋_GB2312" w:cs="仿宋_GB2312" w:eastAsia="仿宋_GB2312" w:hAnsi="仿宋_GB2312" w:hint="eastAsia"/>
              </w:rPr>
              <w:t>装订成册，且应将资料密封存入不透明文件袋中，贴密封条并加盖公章，否则视为无效投标。</w:t>
            </w:r>
          </w:p>
        </w:tc>
      </w:tr>
    </w:tbl>
    <w:p>
      <w:pPr>
        <w:keepNext w:val="0"/>
        <w:keepLines w:val="0"/>
        <w:widowControl w:val="0"/>
        <w:kinsoku/>
        <w:wordWrap/>
        <w:overflowPunct/>
        <w:topLinePunct w:val="0"/>
        <w:autoSpaceDE/>
        <w:autoSpaceDN/>
        <w:bidi w:val="0"/>
        <w:adjustRightInd/>
        <w:snapToGrid/>
        <w:textAlignment w:val="auto"/>
        <w:jc w:val="left"/>
        <w:pageBreakBefore w:val="0"/>
        <w:spacing w:line="560" w:lineRule="exact"/>
        <w:rPr>
          <w:lang w:val="en-US" w:eastAsia="zh-CN"/>
          <w:rFonts w:ascii="黑体" w:cs="黑体" w:eastAsia="黑体" w:hAnsi="黑体" w:hint="eastAsia"/>
          <w:sz w:val="32"/>
          <w:szCs w:val="32"/>
        </w:rPr>
      </w:pPr>
    </w:p>
    <w:sectPr>
      <w:docGrid w:type="lines" w:linePitch="312" w:charSpace="0"/>
      <w:footerReference r:id="rId3" w:type="default"/>
      <w:pgNumType w:fmt="numberInDash"/>
      <w:pgSz w:w="11906" w:h="16838"/>
      <w:pgMar w:left="1361" w:right="1361" w:top="1361" w:bottom="1361" w:header="851" w:footer="992" w:gutter="0"/>
      <w:pgBorders>
        <w:top w:val="nil" w:sz="0" w:color="auto" w:space="0"/>
        <w:bottom w:val="nil" w:sz="0" w:color="auto" w:space="0"/>
        <w:left w:val="nil" w:sz="0" w:color="auto" w:space="0"/>
        <w:right w:val="nil" w:sz="0" w:color="auto" w:space="0"/>
      </w:pgBorders>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alibri Light"/>
  <w:font w:name="Cambria"/>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NjEwYTczNTliODI2NDJmNjg5ODJmYWZmMjM5MmU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194B399D"/>
    <w:rsid val="091C13C7"/>
    <w:rsid val="0A4669B5"/>
    <w:rsid val="0F3A218D"/>
    <w:rsid val="11312983"/>
    <w:rsid val="14C24AD9"/>
    <w:rsid val="172C00A3"/>
    <w:rsid val="17510156"/>
    <w:rsid val="18B761FE"/>
    <w:rsid val="194B399D"/>
    <w:rsid val="1AF3636A"/>
    <w:rsid val="1AF46247"/>
    <w:rsid val="1CD203FA"/>
    <w:rsid val="1D1041D7"/>
    <w:rsid val="22272605"/>
    <w:rsid val="251026CF"/>
    <w:rsid val="28231668"/>
    <w:rsid val="2E544988"/>
    <w:rsid val="2F666F2F"/>
    <w:rsid val="2FBB6ACC"/>
    <w:rsid val="304A7E50"/>
    <w:rsid val="334D7C7F"/>
    <w:rsid val="340E45C5"/>
    <w:rsid val="3F1434CE"/>
    <w:rsid val="4081460D"/>
    <w:rsid val="416451E2"/>
    <w:rsid val="447E6A90"/>
    <w:rsid val="4DC53A93"/>
    <w:rsid val="4E144BA8"/>
    <w:rsid val="56A355D3"/>
    <w:rsid val="587C663C"/>
    <w:rsid val="5A771A36"/>
    <w:rsid val="5C8F69B7"/>
    <w:rsid val="5EBA216A"/>
    <w:rsid val="66AD6A92"/>
    <w:rsid val="66C374B6"/>
    <w:rsid val="670C0754"/>
    <w:rsid val="6A1555D3"/>
    <w:rsid val="6DA73B62"/>
    <w:rsid val="75CA3E7A"/>
    <w:rsid val="7E97605D"/>
    <w:rsid val="7F34677C"/>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Times New Roman" w:cs="Times New Roman" w:eastAsia="宋体" w:hAnsi="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next w:val="2"/>
    <w:uiPriority w:val="0"/>
    <w:pPr>
      <w:widowControl w:val="0"/>
      <w:jc w:val="both"/>
    </w:pPr>
    <w:rPr>
      <w:kern w:val="2"/>
      <w:lang w:val="en-US" w:eastAsia="zh-CN" w:bidi="ar-SA"/>
      <w:rFonts w:ascii="Calibri" w:hAnsiTheme="minorHAnsi" w:eastAsiaTheme="minorEastAsia" w:cstheme="minorBidi"/>
      <w:sz w:val="21"/>
      <w:szCs w:val="24"/>
    </w:rPr>
  </w:style>
  <w:style w:type="character" w:default="1" w:styleId="9">
    <w:name w:val="Default Paragraph Font"/>
    <w:qFormat/>
    <w:semiHidden/>
    <w:uiPriority w:val="0"/>
  </w:style>
  <w:style w:type="table" w:default="1" w:styleId="7">
    <w:name w:val="Normal Table"/>
    <w:qFormat/>
    <w:tblPr>
      <w:tblCellMar>
        <w:top w:w="0" w:type="dxa"/>
        <w:left w:w="108" w:type="dxa"/>
        <w:bottom w:w="0" w:type="dxa"/>
        <w:right w:w="108" w:type="dxa"/>
      </w:tblCellMar>
    </w:tblPr>
    <w:semiHidden/>
    <w:uiPriority w:val="0"/>
  </w:style>
  <w:style w:type="paragraph" w:styleId="2">
    <w:name w:val="Body Text"/>
    <w:qFormat/>
    <w:next w:val="1"/>
    <w:uiPriority w:val="1"/>
    <w:pPr>
      <w:widowControl w:val="0"/>
      <w:autoSpaceDE w:val="0"/>
      <w:autoSpaceDN w:val="0"/>
      <w:jc w:val="left"/>
      <w:ind w:left="106"/>
      <w:ind w:right="0"/>
      <w:spacing w:before="0" w:after="0" w:line="240" w:lineRule="auto"/>
    </w:pPr>
    <w:rPr>
      <w:lang w:val="zh-CN" w:eastAsia="zh-CN" w:bidi="zh-CN"/>
      <w:rFonts w:ascii="仿宋_GB2312" w:cs="仿宋_GB2312" w:eastAsia="仿宋_GB2312" w:hAnsi="仿宋_GB2312"/>
      <w:sz w:val="32"/>
      <w:szCs w:val="32"/>
    </w:rPr>
  </w:style>
  <w:style w:type="paragraph" w:styleId="3">
    <w:name w:val="Normal Indent"/>
    <w:qFormat/>
    <w:basedOn w:val="1"/>
    <w:uiPriority w:val="0"/>
    <w:pPr>
      <w:ind w:firstLine="420"/>
      <w:spacing w:line="560" w:lineRule="exact"/>
    </w:pPr>
  </w:style>
  <w:style w:type="paragraph" w:styleId="4">
    <w:name w:val="footer"/>
    <w:qFormat/>
    <w:basedOn w:val="1"/>
    <w:uiPriority w:val="0"/>
    <w:pPr>
      <w:snapToGrid w:val="0"/>
      <w:jc w:val="left"/>
      <w:tabs>
        <w:tab w:val="center" w:pos="4153"/>
        <w:tab w:val="right" w:pos="8306"/>
      </w:tabs>
    </w:pPr>
    <w:rPr>
      <w:sz w:val="18"/>
    </w:rPr>
  </w:style>
  <w:style w:type="paragraph" w:styleId="5">
    <w:name w:val="header"/>
    <w:qFormat/>
    <w:basedOn w:val="1"/>
    <w:uiPriority w:val="0"/>
    <w:pPr>
      <w:snapToGrid w:val="0"/>
      <w:outlineLvl w:val="9"/>
      <w:pBdr>
        <w:top w:val="nil" w:sz="0" w:color="auto" w:space="1"/>
        <w:bottom w:val="nil" w:sz="0" w:color="auto" w:space="1"/>
        <w:left w:val="nil" w:sz="0" w:color="auto" w:space="4"/>
        <w:right w:val="nil" w:sz="0" w:color="auto" w:space="4"/>
      </w:pBdr>
      <w:jc w:val="both"/>
      <w:spacing w:line="240" w:lineRule="auto"/>
      <w:tabs>
        <w:tab w:val="center" w:pos="4153"/>
        <w:tab w:val="right" w:pos="8306"/>
      </w:tabs>
    </w:pPr>
    <w:rPr>
      <w:sz w:val="18"/>
    </w:rPr>
  </w:style>
  <w:style w:type="paragraph" w:styleId="6">
    <w:name w:val="Normal (Web)"/>
    <w:qFormat/>
    <w:uiPriority w:val="0"/>
    <w:pPr>
      <w:widowControl w:val="0"/>
      <w:jc w:val="left"/>
      <w:ind w:left="0"/>
      <w:ind w:right="0"/>
      <w:spacing w:before="0" w:beforeAutospacing="1" w:after="0" w:afterAutospacing="1"/>
    </w:pPr>
    <w:rPr>
      <w:kern w:val="0"/>
      <w:lang w:val="en-US" w:eastAsia="zh-CN" w:bidi="ar"/>
      <w:rFonts w:ascii="Calibri" w:hAnsiTheme="minorHAnsi" w:eastAsiaTheme="minorEastAsia" w:cstheme="minorBidi"/>
      <w:sz w:val="24"/>
      <w:szCs w:val="24"/>
    </w:rPr>
  </w:style>
  <w:style w:type="table" w:styleId="8">
    <w:name w:val="Table Grid"/>
    <w:qFormat/>
    <w:basedOn w:val="7"/>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nhideWhenUsed/>
    <w:uiPriority w:val="99"/>
  </w:style>
  <w:style w:type="character" w:styleId="10">
    <w:name w:val="footnote reference"/>
    <w:qFormat/>
    <w:basedOn w:val="9"/>
    <w:uiPriority w:val="0"/>
    <w:rPr>
      <w:vertAlign w:val="superscript"/>
    </w:rPr>
  </w:style>
  <w:style w:type="character" w:styleId="11">
    <w:name w:val="font11"/>
    <w:qFormat/>
    <w:basedOn w:val="9"/>
    <w:uiPriority w:val="0"/>
    <w:rPr>
      <w:u w:val="none"/>
      <w:color w:val="000000"/>
      <w:rFonts w:ascii="仿宋_GB2312" w:cs="仿宋_GB2312" w:eastAsia="仿宋_GB2312" w:hint="eastAsia"/>
      <w:sz w:val="28"/>
      <w:szCs w:val="28"/>
    </w:rPr>
  </w:style>
  <w:style w:type="paragraph" w:styleId="12">
    <w:name w:val="列出段落3"/>
    <w:qFormat/>
    <w:basedOn w:val="1"/>
    <w:unhideWhenUsed/>
    <w:uiPriority w:val="99"/>
    <w:pPr>
      <w:ind w:firstLine="420"/>
    </w:pPr>
  </w:style>
  <w:style w:type="paragraph" w:styleId="13">
    <w:name w:val="Heading #1|1"/>
    <w:qFormat/>
    <w:basedOn w:val="1"/>
    <w:uiPriority w:val="0"/>
    <w:pPr>
      <w:outlineLvl w:val="0"/>
      <w:jc w:val="center"/>
      <w:spacing w:after="580" w:line="590" w:lineRule="exact"/>
    </w:pPr>
    <w:rPr>
      <w:lang w:val="zh-TW" w:eastAsia="zh-TW" w:bidi="zh-TW"/>
      <w:rFonts w:ascii="宋体" w:cs="宋体" w:eastAsia="宋体" w:hAnsi="宋体"/>
      <w:sz w:val="44"/>
      <w:szCs w:val="44"/>
    </w:rPr>
  </w:style>
  <w:style w:type="paragraph" w:styleId="14">
    <w:name w:val="Other|1"/>
    <w:qFormat/>
    <w:basedOn w:val="1"/>
    <w:uiPriority w:val="0"/>
    <w:rPr>
      <w:lang w:val="zh-TW" w:eastAsia="zh-TW" w:bidi="zh-TW"/>
      <w:rFonts w:ascii="宋体" w:cs="宋体" w:eastAsia="宋体" w:hAnsi="宋体"/>
      <w:sz w:val="20"/>
      <w:szCs w:val="20"/>
    </w:rPr>
  </w:style>
  <w:style w:type="paragraph" w:styleId="15">
    <w:name w:val="Body text|1"/>
    <w:qFormat/>
    <w:basedOn w:val="1"/>
    <w:uiPriority w:val="0"/>
    <w:pPr>
      <w:ind w:firstLine="400"/>
      <w:spacing w:line="432" w:lineRule="auto"/>
    </w:pPr>
    <w:rPr>
      <w:lang w:val="zh-TW" w:eastAsia="zh-TW" w:bidi="zh-TW"/>
      <w:rFonts w:ascii="宋体" w:cs="宋体" w:eastAsia="宋体" w:hAnsi="宋体"/>
      <w:sz w:val="28"/>
      <w:szCs w:val="2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7" Type="http://schemas.openxmlformats.org/officeDocument/2006/relationships/numbering" Target="numbering.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1903</Words>
  <Characters>1947</Characters>
  <Lines>0</Lines>
  <Paragraphs>0</Paragraphs>
  <TotalTime>2</TotalTime>
  <ScaleCrop>false</ScaleCrop>
  <LinksUpToDate>false</LinksUpToDate>
  <CharactersWithSpaces>1955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2024-10-16T02:08:31Z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F11EB92129C041B4B909D3E914AA65EB_13</vt:lpwstr>
  </property>
</Properties>
</file>