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widowControl/>
        <w:outlineLvl w:val="1"/>
        <w:jc w:val="center"/>
        <w:ind w:firstLine="0"/>
        <w:spacing w:line="400" w:lineRule="exact"/>
        <w:rPr>
          <w:rFonts w:ascii="方正小标宋简体" w:cs="方正小标宋简体" w:eastAsia="方正小标宋简体" w:hAnsi="方正小标宋简体"/>
          <w:sz w:val="36"/>
          <w:szCs w:val="36"/>
        </w:rPr>
      </w:pPr>
      <w:r>
        <w:rPr>
          <w:rFonts w:ascii="方正小标宋简体" w:cs="方正小标宋简体" w:eastAsia="方正小标宋简体" w:hAnsi="方正小标宋简体" w:hint="eastAsia"/>
          <w:sz w:val="36"/>
          <w:szCs w:val="36"/>
        </w:rPr>
        <w:t>采购项目需求方案</w:t>
      </w:r>
    </w:p>
    <w:p>
      <w:pPr>
        <w:widowControl w:val="0"/>
        <w:jc w:val="both"/>
        <w:ind w:firstLine="420"/>
        <w:spacing w:line="240" w:lineRule="auto"/>
        <w:rPr>
          <w:kern w:val="2"/>
          <w:lang w:val="en-US" w:eastAsia="zh-CN" w:bidi="ar-SA"/>
          <w:rFonts w:ascii="Calibri" w:hAnsiTheme="minorHAnsi" w:eastAsiaTheme="minorEastAsia" w:cstheme="minorBidi"/>
          <w:sz w:val="21"/>
          <w:szCs w:val="24"/>
        </w:rPr>
      </w:pPr>
    </w:p>
    <w:tbl>
      <w:tblPr>
        <w:tblW w:w="5000" w:type="pct"/>
        <w:tblLayout w:type="autofit"/>
        <w:tblCellMar>
          <w:top w:w="0" w:type="dxa"/>
          <w:left w:w="108" w:type="dxa"/>
          <w:bottom w:w="0" w:type="dxa"/>
          <w:right w:w="108" w:type="dxa"/>
        </w:tblCellMar>
        <w:tblInd w:w="0" w:type="dxa"/>
        <w:tblStyle w:val="7"/>
      </w:tblPr>
      <w:tblGrid>
        <w:gridCol w:w="1180"/>
        <w:gridCol w:w="2051"/>
        <w:gridCol w:w="1494"/>
        <w:gridCol w:w="2095"/>
        <w:gridCol w:w="2580"/>
      </w:tblGrid>
      <w:tr>
        <w:trPr>
          <w:trHeight w:val="567" w:hRule="exact"/>
        </w:trPr>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项目名称</w:t>
            </w:r>
          </w:p>
        </w:tc>
        <w:tc>
          <w:tcPr>
            <w:noWrap/>
            <w:gridSpan w:val="2"/>
            <w:tcBorders>
              <w:top w:val="single" w:sz="4" w:color="auto" w:space="0"/>
              <w:bottom w:val="single" w:sz="4" w:color="auto" w:space="0"/>
              <w:left w:val="nil" w:sz="0" w:color="auto" w:space="0"/>
              <w:right w:val="single" w:sz="4" w:color="000000" w:space="0"/>
            </w:tcBorders>
            <w:shd w:fill="auto" w:color="auto" w:val="clear"/>
            <w:vAlign w:val="center"/>
            <w:tcW w:w="2283" w:type="pct"/>
          </w:tcPr>
          <w:p>
            <w:pPr>
              <w:widowControl/>
              <w:jc w:val="center"/>
              <w:ind w:firstLine="0"/>
              <w:spacing w:line="240" w:lineRule="auto"/>
              <w:rPr>
                <w:bCs/>
                <w:kern w:val="0"/>
                <w:b/>
                <w:rFonts w:ascii="仿宋_GB2312" w:cs="仿宋_GB2312" w:eastAsia="仿宋_GB2312" w:hAnsi="仿宋_GB2312"/>
                <w:sz w:val="24"/>
              </w:rPr>
            </w:pPr>
            <w:r>
              <w:rPr>
                <w:kern w:val="0"/>
                <w:rFonts w:ascii="仿宋_GB2312" w:cs="仿宋_GB2312" w:eastAsia="仿宋_GB2312" w:hAnsi="仿宋_GB2312" w:hint="eastAsia"/>
                <w:sz w:val="24"/>
              </w:rPr>
              <w:t>2024年</w:t>
            </w:r>
            <w:r>
              <w:rPr>
                <w:kern w:val="0"/>
                <w:lang w:eastAsia="zh-CN"/>
                <w:rFonts w:ascii="仿宋_GB2312" w:cs="仿宋_GB2312" w:eastAsia="仿宋_GB2312" w:hAnsi="仿宋_GB2312" w:hint="eastAsia"/>
                <w:sz w:val="24"/>
              </w:rPr>
              <w:t>福保街道健康服务项目</w:t>
            </w:r>
            <w:r>
              <w:rPr>
                <w:kern w:val="0"/>
                <w:rFonts w:ascii="仿宋_GB2312" w:cs="仿宋_GB2312" w:eastAsia="仿宋_GB2312" w:hAnsi="仿宋_GB2312" w:hint="eastAsia"/>
                <w:sz w:val="24"/>
              </w:rPr>
              <w:t>　</w:t>
            </w:r>
          </w:p>
        </w:tc>
        <w:tc>
          <w:tcPr>
            <w:noWrap/>
            <w:tcBorders>
              <w:top w:val="single" w:sz="4" w:color="auto" w:space="0"/>
              <w:bottom w:val="single" w:sz="4" w:color="auto" w:space="0"/>
              <w:left w:val="nil" w:sz="0" w:color="auto" w:space="0"/>
              <w:right w:val="single" w:sz="4" w:color="auto" w:space="0"/>
            </w:tcBorders>
            <w:shd w:fill="auto" w:color="auto" w:val="clear"/>
            <w:vAlign w:val="center"/>
            <w:tcW w:w="931"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预算金额</w:t>
            </w:r>
          </w:p>
        </w:tc>
        <w:tc>
          <w:tcPr>
            <w:noWrap/>
            <w:tcBorders>
              <w:top w:val="single" w:sz="4" w:color="auto" w:space="0"/>
              <w:bottom w:val="single" w:sz="4" w:color="auto" w:space="0"/>
              <w:left w:val="nil" w:sz="0" w:color="auto" w:space="0"/>
              <w:right w:val="single" w:sz="4" w:color="auto" w:space="0"/>
            </w:tcBorders>
            <w:shd w:fill="auto" w:color="auto" w:val="clear"/>
            <w:vAlign w:val="center"/>
            <w:tcW w:w="1147" w:type="pct"/>
          </w:tcPr>
          <w:p>
            <w:pPr>
              <w:widowControl/>
              <w:jc w:val="left"/>
              <w:ind w:firstLine="0"/>
              <w:spacing w:line="240" w:lineRule="auto"/>
              <w:rPr>
                <w:lang w:val="en-US" w:eastAsia="zh-CN"/>
                <w:rFonts w:hint="default"/>
              </w:rPr>
            </w:pPr>
            <w:r>
              <w:rPr>
                <w:rFonts w:hint="eastAsia"/>
              </w:rPr>
              <w:t xml:space="preserve">      </w:t>
            </w:r>
            <w:r>
              <w:rPr>
                <w:lang w:val="en-US" w:eastAsia="zh-CN"/>
                <w:rFonts w:hint="eastAsia"/>
              </w:rPr>
              <w:t>45万元</w:t>
            </w:r>
          </w:p>
        </w:tc>
      </w:tr>
      <w:tr>
        <w:trPr>
          <w:trHeight w:val="56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采购部门</w:t>
            </w:r>
          </w:p>
        </w:tc>
        <w:tc>
          <w:tcPr>
            <w:noWrap/>
            <w:gridSpan w:val="2"/>
            <w:tcBorders>
              <w:top w:val="single" w:sz="4" w:color="auto" w:space="0"/>
              <w:bottom w:val="single" w:sz="4" w:color="auto" w:space="0"/>
              <w:left w:val="nil" w:sz="0" w:color="auto" w:space="0"/>
              <w:right w:val="single" w:sz="4" w:color="000000" w:space="0"/>
            </w:tcBorders>
            <w:shd w:fill="auto" w:color="auto" w:val="clear"/>
            <w:vAlign w:val="center"/>
            <w:tcW w:w="2283" w:type="pct"/>
          </w:tcPr>
          <w:p>
            <w:pPr>
              <w:widowControl/>
              <w:jc w:val="center"/>
              <w:ind w:firstLine="0"/>
              <w:spacing w:line="240" w:lineRule="auto"/>
              <w:rPr>
                <w:bCs/>
                <w:kern w:val="0"/>
                <w:b/>
                <w:rFonts w:ascii="仿宋_GB2312" w:cs="仿宋_GB2312" w:eastAsia="仿宋_GB2312" w:hAnsi="仿宋_GB2312"/>
                <w:sz w:val="24"/>
              </w:rPr>
            </w:pPr>
            <w:r>
              <w:rPr>
                <w:kern w:val="0"/>
                <w:lang w:eastAsia="zh-CN"/>
                <w:rFonts w:ascii="仿宋_GB2312" w:cs="仿宋_GB2312" w:eastAsia="仿宋_GB2312" w:hAnsi="仿宋_GB2312" w:hint="eastAsia"/>
                <w:sz w:val="24"/>
              </w:rPr>
              <w:t>公共卫生中心</w:t>
            </w:r>
            <w:r>
              <w:rPr>
                <w:kern w:val="0"/>
                <w:rFonts w:ascii="仿宋_GB2312" w:cs="仿宋_GB2312" w:eastAsia="仿宋_GB2312" w:hAnsi="仿宋_GB2312" w:hint="eastAsia"/>
                <w:sz w:val="24"/>
              </w:rPr>
              <w:t>　</w:t>
            </w:r>
          </w:p>
        </w:tc>
        <w:tc>
          <w:tcPr>
            <w:noWrap/>
            <w:tcBorders>
              <w:top w:val="nil" w:sz="0" w:color="auto" w:space="0"/>
              <w:bottom w:val="single" w:sz="4" w:color="auto" w:space="0"/>
              <w:left w:val="nil" w:sz="0" w:color="auto" w:space="0"/>
              <w:right w:val="single" w:sz="4" w:color="auto" w:space="0"/>
            </w:tcBorders>
            <w:shd w:fill="auto" w:color="auto" w:val="clear"/>
            <w:vAlign w:val="center"/>
            <w:tcW w:w="931"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项目经办人</w:t>
            </w:r>
          </w:p>
        </w:tc>
        <w:tc>
          <w:tcPr>
            <w:noWrap/>
            <w:tcBorders>
              <w:top w:val="nil" w:sz="0" w:color="auto" w:space="0"/>
              <w:bottom w:val="single" w:sz="4" w:color="auto" w:space="0"/>
              <w:left w:val="nil" w:sz="0" w:color="auto" w:space="0"/>
              <w:right w:val="single" w:sz="4" w:color="auto" w:space="0"/>
            </w:tcBorders>
            <w:shd w:fill="auto" w:color="auto" w:val="clear"/>
            <w:vAlign w:val="center"/>
            <w:tcW w:w="1147" w:type="pct"/>
          </w:tcPr>
          <w:p>
            <w:pPr>
              <w:widowControl/>
              <w:jc w:val="left"/>
              <w:ind w:firstLine="0"/>
              <w:spacing w:line="240" w:lineRule="auto"/>
              <w:rPr>
                <w:kern w:val="0"/>
                <w:lang w:eastAsia="zh-CN"/>
                <w:rFonts w:ascii="仿宋_GB2312" w:cs="仿宋_GB2312" w:eastAsia="仿宋_GB2312" w:hAnsi="仿宋_GB2312" w:hint="eastAsia"/>
                <w:sz w:val="24"/>
              </w:rPr>
            </w:pPr>
            <w:r>
              <w:rPr>
                <w:kern w:val="0"/>
                <w:rFonts w:ascii="仿宋_GB2312" w:cs="仿宋_GB2312" w:eastAsia="仿宋_GB2312" w:hAnsi="仿宋_GB2312" w:hint="eastAsia"/>
                <w:sz w:val="24"/>
              </w:rPr>
              <w:t>　</w:t>
            </w:r>
            <w:r>
              <w:rPr>
                <w:kern w:val="0"/>
                <w:lang w:eastAsia="zh-CN"/>
                <w:rFonts w:ascii="仿宋_GB2312" w:cs="仿宋_GB2312" w:eastAsia="仿宋_GB2312" w:hAnsi="仿宋_GB2312" w:hint="eastAsia"/>
                <w:sz w:val="24"/>
              </w:rPr>
              <w:t>古苑玲</w:t>
            </w:r>
          </w:p>
        </w:tc>
      </w:tr>
      <w:tr>
        <w:trPr>
          <w:trHeight w:val="24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采购类型</w:t>
            </w:r>
          </w:p>
        </w:tc>
        <w:tc>
          <w:tcPr>
            <w:noWrap/>
            <w:tcBorders>
              <w:top w:val="single" w:sz="4" w:color="auto" w:space="0"/>
              <w:bottom w:val="single" w:sz="4" w:color="auto" w:space="0"/>
              <w:left w:val="nil" w:sz="0" w:color="auto" w:space="0"/>
              <w:right w:val="single" w:sz="4" w:color="auto" w:space="0"/>
            </w:tcBorders>
            <w:shd w:fill="auto" w:color="auto" w:val="clear"/>
            <w:vAlign w:val="center"/>
            <w:tcW w:w="1352" w:type="pct"/>
          </w:tcPr>
          <w:p>
            <w:pPr>
              <w:widowControl/>
              <w:jc w:val="center"/>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sym w:font="Wingdings 2" w:char="0052"/>
            </w:r>
            <w:r>
              <w:rPr>
                <w:bCs/>
                <w:kern w:val="0"/>
                <w:b/>
                <w:rFonts w:ascii="仿宋_GB2312" w:cs="仿宋_GB2312" w:eastAsia="仿宋_GB2312" w:hAnsi="仿宋_GB2312" w:hint="eastAsia"/>
                <w:sz w:val="24"/>
              </w:rPr>
              <w:t>服务类</w:t>
            </w:r>
            <w:r>
              <w:rPr>
                <w:kern w:val="0"/>
                <w:rFonts w:ascii="仿宋_GB2312" w:cs="仿宋_GB2312" w:eastAsia="仿宋_GB2312" w:hAnsi="仿宋_GB2312" w:hint="eastAsia"/>
                <w:sz w:val="24"/>
              </w:rPr>
              <w:t>　</w:t>
            </w:r>
          </w:p>
          <w:p>
            <w:pPr>
              <w:widowControl/>
              <w:jc w:val="center"/>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t>□货物类</w:t>
            </w:r>
            <w:r>
              <w:rPr>
                <w:kern w:val="0"/>
                <w:rFonts w:ascii="仿宋_GB2312" w:cs="仿宋_GB2312" w:eastAsia="仿宋_GB2312" w:hAnsi="仿宋_GB2312" w:hint="eastAsia"/>
                <w:sz w:val="24"/>
              </w:rPr>
              <w:t>　</w:t>
            </w:r>
          </w:p>
          <w:p>
            <w:pPr>
              <w:widowControl/>
              <w:jc w:val="center"/>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t>□工程类</w:t>
            </w:r>
          </w:p>
        </w:tc>
        <w:tc>
          <w:tcPr>
            <w:tcBorders>
              <w:top w:val="single" w:sz="4" w:color="auto" w:space="0"/>
              <w:bottom w:val="single" w:sz="4" w:color="auto" w:space="0"/>
              <w:left w:val="nil" w:sz="0" w:color="auto" w:space="0"/>
              <w:right w:val="single" w:sz="4" w:color="auto" w:space="0"/>
            </w:tcBorders>
            <w:vAlign w:val="center"/>
            <w:tcW w:w="931"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采购方式</w:t>
            </w:r>
          </w:p>
        </w:tc>
        <w:tc>
          <w:tcPr>
            <w:noWrap/>
            <w:gridSpan w:val="2"/>
            <w:tcBorders>
              <w:top w:val="single" w:sz="4" w:color="auto" w:space="0"/>
              <w:bottom w:val="single" w:sz="4" w:color="auto" w:space="0"/>
              <w:left w:val="single" w:sz="4" w:color="auto" w:space="0"/>
              <w:right w:val="single" w:sz="4" w:color="auto" w:space="0"/>
            </w:tcBorders>
            <w:shd w:fill="auto" w:color="auto" w:val="clear"/>
            <w:vAlign w:val="center"/>
            <w:tcW w:w="2078" w:type="pct"/>
          </w:tcPr>
          <w:p>
            <w:pPr>
              <w:widowControl/>
              <w:jc w:val="left"/>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□直接确定供应商（3万元以下）</w:t>
            </w:r>
            <w:r>
              <w:rPr>
                <w:bCs/>
                <w:kern w:val="0"/>
                <w:b/>
                <w:rFonts w:ascii="仿宋_GB2312" w:cs="仿宋_GB2312" w:eastAsia="仿宋_GB2312" w:hAnsi="仿宋_GB2312" w:hint="eastAsia"/>
                <w:sz w:val="24"/>
              </w:rPr>
              <w:sym w:font="Wingdings 2" w:char="00A3"/>
            </w:r>
            <w:r>
              <w:rPr>
                <w:bCs/>
                <w:kern w:val="0"/>
                <w:b/>
                <w:rFonts w:ascii="仿宋_GB2312" w:cs="仿宋_GB2312" w:eastAsia="仿宋_GB2312" w:hAnsi="仿宋_GB2312" w:hint="eastAsia"/>
                <w:sz w:val="24"/>
              </w:rPr>
              <w:t>询价</w:t>
            </w:r>
          </w:p>
          <w:p>
            <w:pPr>
              <w:widowControl/>
              <w:jc w:val="left"/>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t xml:space="preserve">□直接确定供应商（特殊）   </w:t>
            </w:r>
            <w:r>
              <w:rPr>
                <w:bCs/>
                <w:kern w:val="0"/>
                <w:b/>
                <w:rFonts w:ascii="仿宋_GB2312" w:cs="仿宋_GB2312" w:eastAsia="仿宋_GB2312" w:hAnsi="仿宋_GB2312" w:hint="eastAsia"/>
                <w:sz w:val="24"/>
              </w:rPr>
              <w:sym w:font="Wingdings 2" w:char="0052"/>
            </w:r>
            <w:r>
              <w:rPr>
                <w:bCs/>
                <w:kern w:val="0"/>
                <w:b/>
                <w:rFonts w:ascii="仿宋_GB2312" w:cs="仿宋_GB2312" w:eastAsia="仿宋_GB2312" w:hAnsi="仿宋_GB2312" w:hint="eastAsia"/>
                <w:sz w:val="24"/>
              </w:rPr>
              <w:t>比价谈判</w:t>
            </w:r>
          </w:p>
        </w:tc>
      </w:tr>
      <w:tr>
        <w:trPr>
          <w:trHeight w:val="68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项目背景</w:t>
            </w:r>
          </w:p>
        </w:tc>
        <w:tc>
          <w:tcPr>
            <w:gridSpan w:val="4"/>
            <w:tcBorders>
              <w:top w:val="single" w:sz="4" w:color="auto" w:space="0"/>
              <w:bottom w:val="single" w:sz="4" w:color="auto" w:space="0"/>
              <w:left w:val="nil" w:sz="0" w:color="auto" w:space="0"/>
              <w:right w:val="single" w:sz="4" w:color="auto" w:space="0"/>
            </w:tcBorders>
            <w:vAlign w:val="center"/>
            <w:tcW w:w="4361" w:type="pct"/>
          </w:tcPr>
          <w:p>
            <w:pPr>
              <w:widowControl/>
              <w:jc w:val="left"/>
              <w:ind w:firstLine="0"/>
              <w:spacing w:line="240" w:lineRule="auto"/>
              <w:rPr>
                <w:kern w:val="0"/>
                <w:lang w:val="en-US" w:eastAsia="zh-CN"/>
                <w:rFonts w:ascii="仿宋_GB2312" w:cs="仿宋_GB2312" w:eastAsia="仿宋_GB2312" w:hAnsi="仿宋_GB2312" w:hint="default"/>
                <w:sz w:val="24"/>
              </w:rPr>
            </w:pPr>
            <w:r>
              <w:rPr>
                <w:kern w:val="0"/>
                <w:lang w:val="en-US" w:eastAsia="zh-CN"/>
                <w:rFonts w:ascii="仿宋_GB2312" w:cs="仿宋_GB2312" w:eastAsia="仿宋_GB2312" w:hAnsi="仿宋_GB2312" w:hint="eastAsia"/>
                <w:sz w:val="24"/>
              </w:rPr>
              <w:t>为更好地满足福保街道居民健康管理服务需求，</w:t>
            </w:r>
            <w:r>
              <w:rPr>
                <w:kern w:val="0"/>
                <w:lang w:eastAsia="zh-CN"/>
                <w:rFonts w:ascii="仿宋_GB2312" w:cs="仿宋_GB2312" w:eastAsia="仿宋_GB2312" w:hAnsi="仿宋_GB2312" w:hint="eastAsia"/>
                <w:sz w:val="24"/>
              </w:rPr>
              <w:t>拟开展</w:t>
            </w:r>
            <w:r>
              <w:rPr>
                <w:kern w:val="0"/>
                <w:lang w:val="en-US" w:eastAsia="zh-CN"/>
                <w:rFonts w:ascii="仿宋_GB2312" w:cs="仿宋_GB2312" w:eastAsia="仿宋_GB2312" w:hAnsi="仿宋_GB2312" w:hint="eastAsia"/>
                <w:sz w:val="24"/>
              </w:rPr>
              <w:t>2024年福保街道健康服务项目，将按照“健康福田行动”的精神，依托多形式的居民健康管理服务，充分发挥福保街道的基础、优势和潜力，聚焦全民健康生活方式行动，提高辖区居民健康素养水平，形成系统性亮点的健康服务。</w:t>
            </w:r>
          </w:p>
        </w:tc>
      </w:tr>
      <w:tr>
        <w:trPr>
          <w:trHeight w:val="712"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vMerge w:val="restart"/>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项目需求</w:t>
            </w:r>
          </w:p>
        </w:tc>
        <w:tc>
          <w:tcPr>
            <w:gridSpan w:val="4"/>
            <w:tcBorders>
              <w:top w:val="single" w:sz="4" w:color="auto" w:space="0"/>
              <w:bottom w:val="single" w:sz="4" w:color="auto" w:space="0"/>
              <w:left w:val="nil" w:sz="0" w:color="auto" w:space="0"/>
              <w:right w:val="single" w:sz="4" w:color="auto" w:space="0"/>
            </w:tcBorders>
            <w:tcW w:w="4361" w:type="pct"/>
          </w:tcPr>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项目技术要求：</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策划</w:t>
            </w:r>
            <w:r>
              <w:rPr>
                <w:kern w:val="0"/>
                <w:lang w:eastAsia="zh-CN"/>
                <w:rFonts w:ascii="仿宋_GB2312" w:cs="仿宋_GB2312" w:eastAsia="仿宋_GB2312" w:hAnsi="仿宋_GB2312" w:hint="eastAsia"/>
                <w:sz w:val="24"/>
              </w:rPr>
              <w:t>及开展</w:t>
            </w:r>
            <w:r>
              <w:rPr>
                <w:kern w:val="0"/>
                <w:rFonts w:ascii="仿宋_GB2312" w:cs="仿宋_GB2312" w:eastAsia="仿宋_GB2312" w:hAnsi="仿宋_GB2312" w:hint="eastAsia"/>
                <w:sz w:val="24"/>
              </w:rPr>
              <w:t>街道社区全年健康教育活动。按照区、街道、社区要求和居民健康需要，对接公立医院、辖区社康和社会专业资源，系统策划街道社区全年健康科普知识讲座、健康促进主题活动。内容涵盖三减三健、中医药健康文化、优生优育、科学育儿、疾病防控等。</w:t>
            </w:r>
          </w:p>
        </w:tc>
      </w:tr>
      <w:tr>
        <w:trPr>
          <w:trHeight w:val="90" w:hRule="atLeas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gridSpan w:val="4"/>
            <w:tcBorders>
              <w:top w:val="single" w:sz="4" w:color="auto" w:space="0"/>
              <w:bottom w:val="single" w:sz="4" w:color="auto" w:space="0"/>
              <w:left w:val="nil" w:sz="0" w:color="auto" w:space="0"/>
              <w:right w:val="single" w:sz="4" w:color="auto" w:space="0"/>
            </w:tcBorders>
            <w:tcW w:w="4361" w:type="pct"/>
          </w:tcPr>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项目商务要求：</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1.服务期限：</w:t>
            </w:r>
          </w:p>
          <w:p>
            <w:pPr>
              <w:widowControl/>
              <w:jc w:val="left"/>
              <w:ind w:firstLine="0"/>
              <w:spacing w:line="240" w:lineRule="auto"/>
              <w:rPr>
                <w:kern w:val="0"/>
                <w:lang w:val="en-US" w:eastAsia="zh-CN"/>
                <w:rFonts w:ascii="仿宋_GB2312" w:cs="仿宋_GB2312" w:eastAsia="仿宋_GB2312" w:hAnsi="仿宋_GB2312" w:hint="default"/>
                <w:sz w:val="24"/>
              </w:rPr>
            </w:pPr>
            <w:r>
              <w:rPr>
                <w:kern w:val="0"/>
                <w:lang w:eastAsia="zh-CN"/>
                <w:rFonts w:ascii="仿宋_GB2312" w:cs="仿宋_GB2312" w:eastAsia="仿宋_GB2312" w:hAnsi="仿宋_GB2312" w:hint="eastAsia"/>
                <w:sz w:val="24"/>
              </w:rPr>
              <w:t>自合同签订之日起</w:t>
            </w:r>
            <w:r>
              <w:rPr>
                <w:kern w:val="0"/>
                <w:rFonts w:ascii="仿宋_GB2312" w:cs="仿宋_GB2312" w:eastAsia="仿宋_GB2312" w:hAnsi="仿宋_GB2312" w:hint="eastAsia"/>
                <w:sz w:val="24"/>
              </w:rPr>
              <w:t>-2024年1</w:t>
            </w:r>
            <w:r>
              <w:rPr>
                <w:kern w:val="0"/>
                <w:lang w:val="en-US" w:eastAsia="zh-CN"/>
                <w:rFonts w:ascii="仿宋_GB2312" w:cs="仿宋_GB2312" w:eastAsia="仿宋_GB2312" w:hAnsi="仿宋_GB2312" w:hint="eastAsia"/>
                <w:sz w:val="24"/>
              </w:rPr>
              <w:t>1</w:t>
            </w:r>
            <w:r>
              <w:rPr>
                <w:kern w:val="0"/>
                <w:rFonts w:ascii="仿宋_GB2312" w:cs="仿宋_GB2312" w:eastAsia="仿宋_GB2312" w:hAnsi="仿宋_GB2312" w:hint="eastAsia"/>
                <w:sz w:val="24"/>
              </w:rPr>
              <w:t>月</w:t>
            </w:r>
            <w:r>
              <w:rPr>
                <w:kern w:val="0"/>
                <w:lang w:val="en-US" w:eastAsia="zh-CN"/>
                <w:rFonts w:ascii="仿宋_GB2312" w:cs="仿宋_GB2312" w:eastAsia="仿宋_GB2312" w:hAnsi="仿宋_GB2312" w:hint="eastAsia"/>
                <w:sz w:val="24"/>
              </w:rPr>
              <w:t>15日前</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2.付款方式：</w:t>
            </w:r>
          </w:p>
          <w:p>
            <w:pPr>
              <w:widowControl/>
              <w:jc w:val="left"/>
              <w:ind w:firstLine="0"/>
              <w:spacing w:line="240" w:lineRule="auto"/>
              <w:rPr>
                <w:kern w:val="0"/>
                <w:lang w:eastAsia="zh-CN"/>
                <w:rFonts w:ascii="仿宋_GB2312" w:cs="仿宋_GB2312" w:eastAsia="仿宋_GB2312" w:hAnsi="仿宋_GB2312" w:hint="eastAsia"/>
                <w:sz w:val="24"/>
              </w:rPr>
            </w:pPr>
            <w:r>
              <w:rPr>
                <w:kern w:val="0"/>
                <w:lang w:eastAsia="zh-CN"/>
                <w:rFonts w:ascii="仿宋_GB2312" w:cs="仿宋_GB2312" w:eastAsia="仿宋_GB2312" w:hAnsi="仿宋_GB2312" w:hint="eastAsia"/>
                <w:sz w:val="24"/>
              </w:rPr>
              <w:t>本项目采用</w:t>
            </w:r>
            <w:r>
              <w:rPr>
                <w:kern w:val="0"/>
                <w:rFonts w:ascii="仿宋_GB2312" w:cs="仿宋_GB2312" w:eastAsia="仿宋_GB2312" w:hAnsi="仿宋_GB2312" w:hint="eastAsia"/>
                <w:sz w:val="24"/>
              </w:rPr>
              <w:t>分期付款：合同签订后，中标供应商提供符合规定的发票，</w:t>
            </w:r>
            <w:r>
              <w:rPr>
                <w:kern w:val="0"/>
                <w:lang w:eastAsia="zh-CN"/>
                <w:rFonts w:ascii="仿宋_GB2312" w:cs="仿宋_GB2312" w:eastAsia="仿宋_GB2312" w:hAnsi="仿宋_GB2312" w:hint="eastAsia"/>
                <w:sz w:val="24"/>
              </w:rPr>
              <w:t>街道办</w:t>
            </w:r>
            <w:r>
              <w:rPr>
                <w:kern w:val="0"/>
                <w:rFonts w:ascii="仿宋_GB2312" w:cs="仿宋_GB2312" w:eastAsia="仿宋_GB2312" w:hAnsi="仿宋_GB2312" w:hint="eastAsia"/>
                <w:sz w:val="24"/>
              </w:rPr>
              <w:t>支付合同总额的</w:t>
            </w:r>
            <w:r>
              <w:rPr>
                <w:kern w:val="0"/>
                <w:lang w:val="en-US" w:eastAsia="zh-CN"/>
                <w:rFonts w:ascii="仿宋_GB2312" w:cs="仿宋_GB2312" w:eastAsia="仿宋_GB2312" w:hAnsi="仿宋_GB2312" w:hint="eastAsia"/>
                <w:sz w:val="24"/>
              </w:rPr>
              <w:t>40%</w:t>
            </w:r>
            <w:r>
              <w:rPr>
                <w:kern w:val="0"/>
                <w:rFonts w:ascii="仿宋_GB2312" w:cs="仿宋_GB2312" w:eastAsia="仿宋_GB2312" w:hAnsi="仿宋_GB2312" w:hint="eastAsia"/>
                <w:sz w:val="24"/>
              </w:rPr>
              <w:t>；</w:t>
            </w:r>
            <w:r>
              <w:rPr>
                <w:kern w:val="0"/>
                <w:lang w:eastAsia="zh-CN"/>
                <w:rFonts w:ascii="仿宋_GB2312" w:cs="仿宋_GB2312" w:eastAsia="仿宋_GB2312" w:hAnsi="仿宋_GB2312" w:hint="eastAsia"/>
                <w:sz w:val="24"/>
              </w:rPr>
              <w:t>项目进展至</w:t>
            </w:r>
            <w:r>
              <w:rPr>
                <w:kern w:val="0"/>
                <w:lang w:val="en-US" w:eastAsia="zh-CN"/>
                <w:rFonts w:ascii="仿宋_GB2312" w:cs="仿宋_GB2312" w:eastAsia="仿宋_GB2312" w:hAnsi="仿宋_GB2312" w:hint="eastAsia"/>
                <w:sz w:val="24"/>
              </w:rPr>
              <w:t>80%，中标供应商提供符合规定的发票，街道办支付合同总额40%；</w:t>
            </w:r>
            <w:r>
              <w:rPr>
                <w:kern w:val="0"/>
                <w:rFonts w:ascii="仿宋_GB2312" w:cs="仿宋_GB2312" w:eastAsia="仿宋_GB2312" w:hAnsi="仿宋_GB2312" w:hint="eastAsia"/>
                <w:sz w:val="24"/>
              </w:rPr>
              <w:t>项目终验合格后，中标供应商提供符合规定的发票，街道办支付合同总额</w:t>
            </w:r>
            <w:r>
              <w:rPr>
                <w:kern w:val="0"/>
                <w:lang w:val="en-US" w:eastAsia="zh-CN"/>
                <w:rFonts w:ascii="仿宋_GB2312" w:cs="仿宋_GB2312" w:eastAsia="仿宋_GB2312" w:hAnsi="仿宋_GB2312" w:hint="eastAsia"/>
                <w:sz w:val="24"/>
              </w:rPr>
              <w:t>20</w:t>
            </w:r>
            <w:r>
              <w:rPr>
                <w:kern w:val="0"/>
                <w:rFonts w:ascii="仿宋_GB2312" w:cs="仿宋_GB2312" w:eastAsia="仿宋_GB2312" w:hAnsi="仿宋_GB2312" w:hint="eastAsia"/>
                <w:sz w:val="24"/>
              </w:rPr>
              <w:t>%。</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3.报价要求：</w:t>
            </w:r>
            <w:r>
              <w:rPr>
                <w:kern w:val="0"/>
                <w:lang w:eastAsia="zh-CN"/>
                <w:color w:val="auto"/>
                <w:rFonts w:ascii="仿宋_GB2312" w:cs="仿宋_GB2312" w:eastAsia="仿宋_GB2312" w:hAnsi="仿宋_GB2312" w:hint="eastAsia"/>
                <w:sz w:val="24"/>
              </w:rPr>
              <w:t>在预算价格以内</w:t>
            </w:r>
            <w:r>
              <w:rPr>
                <w:kern w:val="0"/>
                <w:lang w:eastAsia="zh-CN"/>
                <w:rFonts w:ascii="仿宋_GB2312" w:cs="仿宋_GB2312" w:eastAsia="仿宋_GB2312" w:hAnsi="仿宋_GB2312" w:hint="eastAsia"/>
                <w:sz w:val="24"/>
              </w:rPr>
              <w:t>。</w:t>
            </w:r>
          </w:p>
        </w:tc>
      </w:tr>
      <w:tr>
        <w:trPr>
          <w:trHeight w:val="143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投标人资质要求</w:t>
            </w:r>
          </w:p>
        </w:tc>
        <w:tc>
          <w:tcPr>
            <w:gridSpan w:val="4"/>
            <w:tcBorders>
              <w:top w:val="single" w:sz="4" w:color="auto" w:space="0"/>
              <w:bottom w:val="single" w:sz="4" w:color="auto" w:space="0"/>
              <w:left w:val="nil" w:sz="0" w:color="auto" w:space="0"/>
              <w:right w:val="single" w:sz="4" w:color="auto" w:space="0"/>
            </w:tcBorders>
            <w:tcW w:w="4361" w:type="pct"/>
          </w:tcPr>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1.具有独立法人资格或具有独立承担民事责任的能力的其它组织（提供营业执照或事业单位法人证等法人证明扫描件，原件备查）。</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2.本项目不接受联合体投标。</w:t>
            </w:r>
            <w:bookmarkStart w:id="0" w:name="_GoBack"/>
            <w:bookmarkEnd w:id="0"/>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rPr>
          <w:trHeight w:val="127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投标人需提供资料</w:t>
            </w:r>
          </w:p>
        </w:tc>
        <w:tc>
          <w:tcPr>
            <w:gridSpan w:val="4"/>
            <w:tcBorders>
              <w:top w:val="single" w:sz="4" w:color="auto" w:space="0"/>
              <w:bottom w:val="single" w:sz="4" w:color="auto" w:space="0"/>
              <w:left w:val="nil" w:sz="0" w:color="auto" w:space="0"/>
              <w:right w:val="single" w:sz="4" w:color="auto" w:space="0"/>
            </w:tcBorders>
            <w:tcW w:w="4361" w:type="pct"/>
          </w:tcPr>
          <w:p>
            <w:pPr>
              <w:widowControl/>
              <w:numPr>
                <w:ilvl w:val="0"/>
                <w:numId w:val="1"/>
              </w:numPr>
              <w:jc w:val="left"/>
              <w:ind w:firstLine="0"/>
              <w:spacing w:line="240" w:lineRule="auto"/>
              <w:rPr>
                <w:rFonts w:hint="eastAsia"/>
              </w:rPr>
            </w:pPr>
            <w:r>
              <w:rPr>
                <w:rFonts w:hint="eastAsia"/>
              </w:rPr>
              <w:t>营业执照、经营范围等相关资质复印件</w:t>
            </w:r>
          </w:p>
          <w:p>
            <w:pPr>
              <w:widowControl/>
              <w:numPr>
                <w:ilvl w:val="0"/>
                <w:numId w:val="0"/>
              </w:numPr>
              <w:jc w:val="left"/>
              <w:spacing w:line="240" w:lineRule="auto"/>
              <w:rPr>
                <w:rFonts w:hint="eastAsia"/>
              </w:rPr>
            </w:pPr>
            <w:r>
              <w:rPr>
                <w:rFonts w:hint="eastAsia"/>
              </w:rPr>
              <w:t>2、投标报价单（须写出详实内容：包括但不限于价格、服务项目、内容、服务人数等）；</w:t>
            </w:r>
          </w:p>
          <w:p>
            <w:pPr>
              <w:widowControl/>
              <w:jc w:val="left"/>
              <w:ind w:firstLine="0"/>
              <w:spacing w:line="240" w:lineRule="auto"/>
              <w:rPr>
                <w:rFonts w:hint="eastAsia"/>
              </w:rPr>
            </w:pPr>
            <w:r>
              <w:rPr>
                <w:rFonts w:hint="eastAsia"/>
              </w:rPr>
              <w:t>3、对此项目的运营提供详细的服务方案；</w:t>
            </w:r>
          </w:p>
          <w:p>
            <w:pPr>
              <w:widowControl/>
              <w:jc w:val="left"/>
              <w:ind w:firstLine="0"/>
              <w:spacing w:line="240" w:lineRule="auto"/>
              <w:rPr>
                <w:rFonts w:hint="eastAsia"/>
              </w:rPr>
            </w:pPr>
            <w:r>
              <w:rPr>
                <w:rFonts w:hint="eastAsia"/>
              </w:rPr>
              <w:t>4、公司详细简介；</w:t>
            </w:r>
          </w:p>
          <w:p>
            <w:pPr>
              <w:widowControl/>
              <w:jc w:val="left"/>
              <w:ind w:firstLine="0"/>
              <w:spacing w:line="240" w:lineRule="auto"/>
              <w:rPr>
                <w:rFonts w:hint="eastAsia"/>
              </w:rPr>
            </w:pPr>
            <w:r>
              <w:rPr>
                <w:rFonts w:hint="eastAsia"/>
              </w:rPr>
              <w:t>5、项目相关案例、业绩等；</w:t>
            </w:r>
          </w:p>
          <w:p>
            <w:pPr>
              <w:widowControl/>
              <w:jc w:val="left"/>
              <w:ind w:firstLine="0"/>
              <w:spacing w:line="240" w:lineRule="auto"/>
              <w:rPr>
                <w:rFonts w:hint="eastAsia"/>
              </w:rPr>
            </w:pPr>
            <w:r>
              <w:rPr>
                <w:rFonts w:hint="eastAsia"/>
              </w:rPr>
              <w:t>6、近三年内无行贿犯罪记录、无重大违法经营记录的声明和不存在处于被禁止参与政府采购活动期限内情形的声明函（声明函格式自拟）；</w:t>
            </w:r>
          </w:p>
          <w:p>
            <w:pPr>
              <w:widowControl/>
              <w:jc w:val="left"/>
              <w:ind w:firstLine="0"/>
              <w:spacing w:line="240" w:lineRule="auto"/>
              <w:rPr>
                <w:rFonts w:hint="eastAsia"/>
              </w:rPr>
            </w:pPr>
            <w:r>
              <w:rPr>
                <w:rFonts w:hint="eastAsia"/>
              </w:rPr>
              <w:t>7、可体现投标人综合实力及运营管理能力的其他资料</w:t>
            </w:r>
          </w:p>
          <w:p>
            <w:pPr>
              <w:widowControl/>
              <w:jc w:val="left"/>
              <w:ind w:firstLine="0"/>
              <w:spacing w:line="240" w:lineRule="auto"/>
              <w:rPr>
                <w:lang w:val="en-US" w:eastAsia="zh-CN"/>
                <w:rFonts w:hint="default"/>
              </w:rPr>
            </w:pPr>
            <w:r>
              <w:rPr>
                <w:rFonts w:hint="eastAsia"/>
              </w:rPr>
              <w:t>以上文件均需每页加盖单位公章并装订成册，且应将资料密封存入不透明文件袋中，贴密封条并加盖公章，否则视为无效投标。</w:t>
            </w:r>
          </w:p>
        </w:tc>
      </w:tr>
    </w:tbl>
    <w:p>
      <w:pPr>
        <w:keepNext w:val="0"/>
        <w:keepLines w:val="0"/>
        <w:widowControl w:val="0"/>
        <w:kinsoku/>
        <w:wordWrap/>
        <w:overflowPunct/>
        <w:topLinePunct w:val="0"/>
        <w:autoSpaceDE/>
        <w:autoSpaceDN/>
        <w:bidi w:val="0"/>
        <w:adjustRightInd/>
        <w:snapToGrid/>
        <w:textAlignment w:val="auto"/>
        <w:jc w:val="left"/>
        <w:pageBreakBefore w:val="0"/>
        <w:spacing w:line="560" w:lineRule="exact"/>
        <w:rPr>
          <w:lang w:val="en-US" w:eastAsia="zh-CN"/>
          <w:rFonts w:ascii="黑体" w:cs="黑体" w:eastAsia="黑体" w:hAnsi="黑体" w:hint="eastAsia"/>
          <w:sz w:val="32"/>
          <w:szCs w:val="32"/>
        </w:rPr>
      </w:pPr>
    </w:p>
    <w:sectPr>
      <w:docGrid w:type="lines" w:linePitch="312" w:charSpace="0"/>
      <w:footerReference r:id="rId3" w:type="default"/>
      <w:pgNumType w:fmt="numberInDash"/>
      <w:pgSz w:w="11906" w:h="16838"/>
      <w:pgMar w:left="1361" w:right="1361" w:top="1361" w:bottom="1361" w:header="851" w:footer="992" w:gutter="0"/>
      <w:pgBorders>
        <w:top w:val="nil" w:sz="0" w:color="auto" w:space="0"/>
        <w:bottom w:val="nil" w:sz="0" w:color="auto" w:space="0"/>
        <w:left w:val="nil" w:sz="0" w:color="auto" w:space="0"/>
        <w:right w:val="nil" w:sz="0" w:color="auto" w:space="0"/>
      </w:pgBorders>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191FB1-2501-4540-BFF3-6920C4654A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D72901-59D4-42BF-8C40-D94B8C67850C}"/>
  </w:font>
  <w:font w:name="仿宋_GB2312">
    <w:panose1 w:val="02010609030101010101"/>
    <w:charset w:val="86"/>
    <w:family w:val="auto"/>
    <w:pitch w:val="default"/>
    <w:sig w:usb0="00000001" w:usb1="080E0000" w:usb2="00000000" w:usb3="00000000" w:csb0="00040000" w:csb1="00000000"/>
    <w:embedRegular r:id="rId3" w:fontKey="{66808CA6-360A-4999-AED0-4E68D9CC3694}"/>
  </w:font>
  <w:font w:name="方正小标宋简体">
    <w:panose1 w:val="02000000000000000000"/>
    <w:charset w:val="86"/>
    <w:family w:val="auto"/>
    <w:pitch w:val="default"/>
    <w:sig w:usb0="00000001" w:usb1="08000000" w:usb2="00000000" w:usb3="00000000" w:csb0="00040000" w:csb1="00000000"/>
    <w:embedRegular r:id="rId4" w:fontKey="{E1CBF49C-BF3A-47C4-953B-2D09DB6430D2}"/>
  </w:font>
  <w:font w:name="Wingdings 2">
    <w:altName w:val="Wingdings"/>
    <w:panose1 w:val="05020102010507070707"/>
    <w:charset w:val="02"/>
    <w:family w:val="roman"/>
    <w:pitch w:val="default"/>
    <w:sig w:usb0="00000000" w:usb1="00000000" w:usb2="00000000" w:usb3="00000000" w:csb0="80000000" w:csb1="00000000"/>
    <w:embedRegular r:id="rId5" w:fontKey="{FD87E029-C788-40CC-AEA4-EB9EEEEC38FD}"/>
  </w:font>
  <w:font w:name="Kingsoft Symbol">
    <w:altName w:val="Symbo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CF562956"/>
    <w:tmpl w:val="CF562956"/>
    <w:lvl w:ilvl="0" w:tentative="0">
      <w:numFmt w:val="decimal"/>
      <w:lvlText w:val="%1、"/>
      <w:start w:val="1"/>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NjRjMGU3YjJhM2VmNDU5ZDNjMGE3OTM0NGI2Yjc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194B399D"/>
    <w:rsid val="03EDC5FF"/>
    <w:rsid val="091C13C7"/>
    <w:rsid val="0A4669B5"/>
    <w:rsid val="11312983"/>
    <w:rsid val="14C24AD9"/>
    <w:rsid val="172C00A3"/>
    <w:rsid val="18B761FE"/>
    <w:rsid val="194B399D"/>
    <w:rsid val="1AF3636A"/>
    <w:rsid val="1CD203FA"/>
    <w:rsid val="1D1041D7"/>
    <w:rsid val="251026CF"/>
    <w:rsid val="2E544988"/>
    <w:rsid val="2FBB6ACC"/>
    <w:rsid val="304A7E50"/>
    <w:rsid val="334D7C7F"/>
    <w:rsid val="340E45C5"/>
    <w:rsid val="3F1434CE"/>
    <w:rsid val="416451E2"/>
    <w:rsid val="447E6A90"/>
    <w:rsid val="4E144BA8"/>
    <w:rsid val="4E1E0521"/>
    <w:rsid val="56057FF3"/>
    <w:rsid val="587C663C"/>
    <w:rsid val="5A771A36"/>
    <w:rsid val="5C8F69B7"/>
    <w:rsid val="5EBA216A"/>
    <w:rsid val="66AD6A92"/>
    <w:rsid val="66C374B6"/>
    <w:rsid val="6A1555D3"/>
    <w:rsid val="7E97605D"/>
    <w:rsid val="7F34677C"/>
    <w:rsid val="B4FB8A61"/>
    <w:rsid val="D1CAAA8A"/>
    <w:rsid val="ECEA50B3"/>
    <w:rsid val="FDB5528F"/>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宋体" w:hAnsi="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next w:val="2"/>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9">
    <w:name w:val="Default Paragraph Font"/>
    <w:qFormat/>
    <w:semiHidden/>
    <w:uiPriority w:val="0"/>
  </w:style>
  <w:style w:type="table" w:default="1" w:styleId="7">
    <w:name w:val="Normal Table"/>
    <w:qFormat/>
    <w:tblPr>
      <w:tblCellMar>
        <w:top w:w="0" w:type="dxa"/>
        <w:left w:w="108" w:type="dxa"/>
        <w:bottom w:w="0" w:type="dxa"/>
        <w:right w:w="108" w:type="dxa"/>
      </w:tblCellMar>
    </w:tblPr>
    <w:semiHidden/>
    <w:uiPriority w:val="0"/>
  </w:style>
  <w:style w:type="paragraph" w:styleId="2">
    <w:name w:val="Plain Text"/>
    <w:qFormat/>
    <w:basedOn w:val="1"/>
    <w:uiPriority w:val="0"/>
    <w:pPr>
      <w:widowControl w:val="0"/>
      <w:jc w:val="both"/>
    </w:pPr>
    <w:rPr>
      <w:kern w:val="2"/>
      <w:lang w:val="en-US" w:eastAsia="zh-CN" w:bidi="ar-SA"/>
      <w:rFonts w:ascii="宋体" w:cs="Courier New" w:eastAsia="宋体" w:hAnsi="Courier New"/>
      <w:sz w:val="21"/>
      <w:szCs w:val="21"/>
    </w:rPr>
  </w:style>
  <w:style w:type="paragraph" w:styleId="3">
    <w:name w:val="Normal Indent"/>
    <w:qFormat/>
    <w:basedOn w:val="1"/>
    <w:uiPriority w:val="0"/>
    <w:pPr>
      <w:ind w:firstLine="420"/>
      <w:spacing w:line="560" w:lineRule="exact"/>
    </w:pPr>
  </w:style>
  <w:style w:type="paragraph" w:styleId="4">
    <w:name w:val="Body Text"/>
    <w:qFormat/>
    <w:next w:val="1"/>
    <w:uiPriority w:val="1"/>
    <w:pPr>
      <w:widowControl w:val="0"/>
      <w:autoSpaceDE w:val="0"/>
      <w:autoSpaceDN w:val="0"/>
      <w:jc w:val="left"/>
      <w:ind w:left="106"/>
      <w:ind w:right="0"/>
      <w:spacing w:before="0" w:after="0" w:line="240" w:lineRule="auto"/>
    </w:pPr>
    <w:rPr>
      <w:lang w:val="zh-CN" w:eastAsia="zh-CN" w:bidi="zh-CN"/>
      <w:rFonts w:ascii="仿宋_GB2312" w:cs="仿宋_GB2312" w:eastAsia="仿宋_GB2312" w:hAnsi="仿宋_GB2312"/>
      <w:sz w:val="32"/>
      <w:szCs w:val="32"/>
    </w:rPr>
  </w:style>
  <w:style w:type="paragraph" w:styleId="5">
    <w:name w:val="footer"/>
    <w:qFormat/>
    <w:basedOn w:val="1"/>
    <w:uiPriority w:val="0"/>
    <w:pPr>
      <w:snapToGrid w:val="0"/>
      <w:jc w:val="left"/>
      <w:tabs>
        <w:tab w:val="center" w:pos="4153"/>
        <w:tab w:val="right" w:pos="8306"/>
      </w:tabs>
    </w:pPr>
    <w:rPr>
      <w:sz w:val="18"/>
    </w:rPr>
  </w:style>
  <w:style w:type="paragraph" w:styleId="6">
    <w:name w:val="header"/>
    <w:qFormat/>
    <w:basedOn w:val="1"/>
    <w:uiPriority w:val="0"/>
    <w:pPr>
      <w:snapToGrid w:val="0"/>
      <w:outlineLvl w:val="9"/>
      <w:pBdr>
        <w:top w:val="nil" w:sz="0" w:color="auto" w:space="1"/>
        <w:bottom w:val="nil" w:sz="0" w:color="auto" w:space="1"/>
        <w:left w:val="nil" w:sz="0" w:color="auto" w:space="4"/>
        <w:right w:val="nil" w:sz="0" w:color="auto" w:space="4"/>
      </w:pBdr>
      <w:jc w:val="both"/>
      <w:spacing w:line="240" w:lineRule="auto"/>
      <w:tabs>
        <w:tab w:val="center" w:pos="4153"/>
        <w:tab w:val="right" w:pos="8306"/>
      </w:tabs>
    </w:pPr>
    <w:rPr>
      <w:sz w:val="18"/>
    </w:rPr>
  </w:style>
  <w:style w:type="table" w:styleId="8">
    <w:name w:val="Table Grid"/>
    <w:qFormat/>
    <w:basedOn w:val="7"/>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nhideWhenUsed/>
    <w:uiPriority w:val="99"/>
  </w:style>
  <w:style w:type="character" w:styleId="10">
    <w:name w:val="footnote reference"/>
    <w:qFormat/>
    <w:basedOn w:val="9"/>
    <w:uiPriority w:val="0"/>
    <w:rPr>
      <w:vertAlign w:val="superscript"/>
    </w:rPr>
  </w:style>
  <w:style w:type="character" w:styleId="11">
    <w:name w:val="font11"/>
    <w:qFormat/>
    <w:basedOn w:val="9"/>
    <w:uiPriority w:val="0"/>
    <w:rPr>
      <w:u w:val="none"/>
      <w:color w:val="000000"/>
      <w:rFonts w:ascii="仿宋_GB2312" w:cs="仿宋_GB2312" w:eastAsia="仿宋_GB2312" w:hint="eastAsia"/>
      <w:sz w:val="28"/>
      <w:szCs w:val="28"/>
    </w:rPr>
  </w:style>
  <w:style w:type="paragraph" w:styleId="12">
    <w:name w:val="列出段落3"/>
    <w:qFormat/>
    <w:basedOn w:val="1"/>
    <w:unhideWhenUsed/>
    <w:uiPriority w:val="99"/>
    <w:pPr>
      <w:ind w:firstLine="420"/>
    </w:pPr>
  </w:style>
  <w:style w:type="paragraph" w:styleId="13">
    <w:name w:val="Heading #1|1"/>
    <w:qFormat/>
    <w:basedOn w:val="1"/>
    <w:uiPriority w:val="0"/>
    <w:pPr>
      <w:outlineLvl w:val="0"/>
      <w:jc w:val="center"/>
      <w:spacing w:after="580" w:line="590" w:lineRule="exact"/>
    </w:pPr>
    <w:rPr>
      <w:lang w:val="zh-TW" w:eastAsia="zh-TW" w:bidi="zh-TW"/>
      <w:rFonts w:ascii="宋体" w:cs="宋体" w:eastAsia="宋体" w:hAnsi="宋体"/>
      <w:sz w:val="44"/>
      <w:szCs w:val="44"/>
    </w:rPr>
  </w:style>
  <w:style w:type="paragraph" w:styleId="14">
    <w:name w:val="Other|1"/>
    <w:qFormat/>
    <w:basedOn w:val="1"/>
    <w:uiPriority w:val="0"/>
    <w:rPr>
      <w:lang w:val="zh-TW" w:eastAsia="zh-TW" w:bidi="zh-TW"/>
      <w:rFonts w:ascii="宋体" w:cs="宋体" w:eastAsia="宋体" w:hAnsi="宋体"/>
      <w:sz w:val="20"/>
      <w:szCs w:val="20"/>
    </w:rPr>
  </w:style>
  <w:style w:type="paragraph" w:styleId="15">
    <w:name w:val="Body text|1"/>
    <w:qFormat/>
    <w:basedOn w:val="1"/>
    <w:uiPriority w:val="0"/>
    <w:pPr>
      <w:ind w:firstLine="400"/>
      <w:spacing w:line="432" w:lineRule="auto"/>
    </w:pPr>
    <w:rPr>
      <w:lang w:val="zh-TW" w:eastAsia="zh-TW" w:bidi="zh-TW"/>
      <w:rFonts w:ascii="宋体" w:cs="宋体" w:eastAsia="宋体" w:hAnsi="宋体"/>
      <w:sz w:val="28"/>
      <w:szCs w:val="2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2023-11-03T09:41:00Z</dcterms:created>
  <dc:creator>lulu</dc:creator>
  <cp:lastModifiedBy>Bella</cp:lastModifiedBy>
  <dcterms:modified xsi:type="dcterms:W3CDTF">2024-03-19T06:56:59Z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A7D2AA5E44DF4C798B099C9B14AA3BDA_13</vt:lpwstr>
  </property>
</Properties>
</file>