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黑体" w:cs="黑体"/>
          <w:b w:val="0"/>
          <w:bCs/>
          <w:w w:val="100"/>
          <w:sz w:val="32"/>
          <w:szCs w:val="32"/>
          <w:lang w:eastAsia="zh-CN"/>
        </w:rPr>
      </w:pPr>
      <w:r>
        <w:rPr>
          <w:rFonts w:hint="eastAsia" w:ascii="宋体" w:hAnsi="宋体" w:eastAsia="黑体" w:cs="黑体"/>
          <w:b w:val="0"/>
          <w:bCs/>
          <w:w w:val="100"/>
          <w:sz w:val="32"/>
          <w:szCs w:val="32"/>
          <w:lang w:eastAsia="zh-CN"/>
        </w:rPr>
        <w:t>附件2</w:t>
      </w:r>
    </w:p>
    <w:p>
      <w:pPr>
        <w:jc w:val="center"/>
        <w:rPr>
          <w:rFonts w:hint="eastAsia"/>
          <w:sz w:val="32"/>
          <w:szCs w:val="32"/>
        </w:rPr>
      </w:pPr>
      <w:r>
        <w:rPr>
          <w:rFonts w:hint="eastAsia" w:ascii="方正小标宋简体" w:hAnsi="方正小标宋简体" w:eastAsia="方正小标宋简体" w:cs="方正小标宋简体"/>
          <w:sz w:val="44"/>
          <w:szCs w:val="44"/>
        </w:rPr>
        <w:t>奖金和相关政策支持指引</w:t>
      </w:r>
    </w:p>
    <w:p>
      <w:pPr>
        <w:rPr>
          <w:rFonts w:hint="eastAsia"/>
          <w:sz w:val="32"/>
          <w:szCs w:val="32"/>
        </w:rPr>
      </w:pPr>
    </w:p>
    <w:p>
      <w:pPr>
        <w:rPr>
          <w:rFonts w:hint="eastAsia" w:ascii="仿宋_GB2312" w:hAnsi="仿宋_GB2312" w:eastAsia="仿宋_GB2312" w:cs="仿宋_GB2312"/>
          <w:sz w:val="32"/>
          <w:szCs w:val="32"/>
        </w:rPr>
      </w:pPr>
      <w:r>
        <w:rPr>
          <w:rFonts w:hint="eastAsia" w:ascii="宋体" w:hAnsi="宋体" w:eastAsia="黑体" w:cs="黑体"/>
          <w:b w:val="0"/>
          <w:bCs/>
          <w:w w:val="100"/>
          <w:sz w:val="32"/>
          <w:szCs w:val="32"/>
          <w:lang w:eastAsia="zh-CN"/>
        </w:rPr>
        <w:t>一、奖金设置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一等奖，奖金5000元；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二等奖，奖金3000元；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三等奖，奖金2000元。</w:t>
      </w:r>
    </w:p>
    <w:p>
      <w:pPr>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以上奖金由大赛组委会联系获奖产品团队发放。</w:t>
      </w:r>
    </w:p>
    <w:p>
      <w:pPr>
        <w:rPr>
          <w:rFonts w:hint="eastAsia" w:ascii="仿宋_GB2312" w:hAnsi="仿宋_GB2312" w:eastAsia="仿宋_GB2312" w:cs="仿宋_GB2312"/>
          <w:sz w:val="32"/>
          <w:szCs w:val="32"/>
        </w:rPr>
      </w:pPr>
      <w:r>
        <w:rPr>
          <w:rFonts w:hint="eastAsia" w:ascii="宋体" w:hAnsi="宋体" w:eastAsia="黑体" w:cs="黑体"/>
          <w:b w:val="0"/>
          <w:bCs/>
          <w:w w:val="100"/>
          <w:sz w:val="32"/>
          <w:szCs w:val="32"/>
          <w:lang w:eastAsia="zh-CN"/>
        </w:rPr>
        <w:t>二、政策支持</w:t>
      </w:r>
      <w:bookmarkStart w:id="0" w:name="_GoBack"/>
      <w:bookmarkEnd w:id="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1.对在福田辖区实施，服务对象主要为福田辖区的企业、市民的获奖产品，并且符合《福田区社会建设专项资金使用管理办法》（详见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szft.gov.cn/ftrmzfbgs/gkmlpt/content/10/10090/post_10090566.html#21370）资助范围的，可以申报专项资金，按程序通过审核后，予以资助；其他获奖项目视实际情况，采取政府购买服务、推介等方式，由福田区法学会、福田区司法局支持落地实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2.深圳国际公益学院将为符合条件的获奖选手提供总金额高达109万元的全额奖学金入读EMP国际公益管理项目第十八期，共计5个名额。全额奖学金基本申请条件如下：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（1）遵纪守法、德才兼备；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（2）本科或同等学力以上；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（3）有5年及以上公益全职从业经验，或者自2019年11月1日起至2022年10月31日止累计提供了150个小时及以上的公益法律服务。</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请各获奖产品的作者团队推举一名符合以上条件的代表，准备EMP18期申报材料（报名表、奖学金申请表，详见附件），</w:t>
      </w:r>
      <w:r>
        <w:rPr>
          <w:rFonts w:hint="eastAsia" w:ascii="仿宋_GB2312" w:hAnsi="仿宋_GB2312" w:eastAsia="仿宋_GB2312" w:cs="仿宋_GB2312"/>
          <w:b/>
          <w:bCs/>
          <w:sz w:val="32"/>
          <w:szCs w:val="32"/>
        </w:rPr>
        <w:t>于2023年10月8日前递交资料至muyan@cgpi.org.cn（联系方式：牟女士，0755-22737151）</w:t>
      </w:r>
      <w:r>
        <w:rPr>
          <w:rFonts w:hint="eastAsia" w:ascii="仿宋_GB2312" w:hAnsi="仿宋_GB2312" w:eastAsia="仿宋_GB2312" w:cs="仿宋_GB2312"/>
          <w:sz w:val="32"/>
          <w:szCs w:val="32"/>
        </w:rPr>
        <w:t>，深圳国际公益学院将安排报名材料审核，通过材料审核后通知面试等事项。EMP18期开学时间为：2023年10月19日 ，地点：北京。</w:t>
      </w:r>
      <w:r>
        <w:rPr>
          <w:rFonts w:hint="eastAsia" w:ascii="仿宋_GB2312" w:hAnsi="仿宋_GB2312" w:eastAsia="仿宋_GB2312" w:cs="仿宋_GB2312"/>
          <w:b/>
          <w:bCs/>
          <w:sz w:val="32"/>
          <w:szCs w:val="32"/>
        </w:rPr>
        <w:t>请尽快提交申报材料，逾期未提交即视为放弃本次奖学金申请机会。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3.应用新技术解决社会影响力金融痛点、在社会影响力金融领域有具有较大影响，且符合《香蜜湖金融科技创新奖评选办法》（详见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http://www.szft.gov.cn/ftqjrgzj/gkmlpt/content/9/9420/mpost_9420320.html#22720）其他申报条件的参赛产品，可以参与申报香蜜湖金融科技创新奖特色项目奖，按程序通过评审后，予以表彰奖励。</w:t>
      </w:r>
    </w:p>
    <w:p>
      <w:pPr>
        <w:ind w:firstLine="640" w:firstLineChars="200"/>
        <w:rPr>
          <w:rFonts w:hint="eastAsia"/>
          <w:sz w:val="32"/>
          <w:szCs w:val="32"/>
        </w:rPr>
      </w:pPr>
      <w:r>
        <w:rPr>
          <w:rFonts w:hint="eastAsia" w:ascii="仿宋_GB2312" w:hAnsi="仿宋_GB2312" w:eastAsia="仿宋_GB2312" w:cs="仿宋_GB2312"/>
          <w:sz w:val="32"/>
          <w:szCs w:val="32"/>
        </w:rPr>
        <w:t>4.深圳壹基金公益基金会将对本次获奖产品中的优秀项目进行资源支持和协助推广。具体事宜，各项目团队可联系</w:t>
      </w:r>
      <w:r>
        <w:rPr>
          <w:rFonts w:hint="eastAsia" w:ascii="仿宋_GB2312" w:hAnsi="仿宋_GB2312" w:eastAsia="仿宋_GB2312" w:cs="仿宋_GB2312"/>
          <w:b/>
          <w:bCs/>
          <w:sz w:val="32"/>
          <w:szCs w:val="32"/>
        </w:rPr>
        <w:t>唐女士（400 690 2700）</w:t>
      </w:r>
      <w:r>
        <w:rPr>
          <w:rFonts w:hint="eastAsia" w:ascii="仿宋_GB2312" w:hAnsi="仿宋_GB2312" w:eastAsia="仿宋_GB2312" w:cs="仿宋_GB2312"/>
          <w:sz w:val="32"/>
          <w:szCs w:val="32"/>
        </w:rPr>
        <w:t>进一步咨询。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CFF6E0B4"/>
    <w:rsid w:val="DDEDCA2E"/>
    <w:rsid w:val="FB2F6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庄园</cp:lastModifiedBy>
  <dcterms:modified xsi:type="dcterms:W3CDTF">2025-04-24T18:03:38Z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