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01D176">
      <w:pPr>
        <w:widowControl/>
        <w:spacing w:line="400" w:lineRule="exact"/>
        <w:ind w:firstLine="0" w:firstLineChars="0"/>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采购项目需求方案</w:t>
      </w:r>
    </w:p>
    <w:p w14:paraId="50267139">
      <w:pPr>
        <w:widowControl w:val="0"/>
        <w:spacing w:line="240" w:lineRule="auto"/>
        <w:ind w:firstLine="420" w:firstLineChars="200"/>
        <w:jc w:val="both"/>
        <w:rPr>
          <w:rFonts w:asciiTheme="minorHAnsi" w:hAnsiTheme="minorHAnsi" w:eastAsiaTheme="minorEastAsia" w:cstheme="minorBidi"/>
          <w:kern w:val="2"/>
          <w:sz w:val="21"/>
          <w:szCs w:val="24"/>
          <w:lang w:val="en-US" w:eastAsia="zh-CN" w:bidi="ar-SA"/>
        </w:rPr>
      </w:pPr>
    </w:p>
    <w:tbl>
      <w:tblPr>
        <w:tblStyle w:val="8"/>
        <w:tblW w:w="5000" w:type="pct"/>
        <w:tblInd w:w="0" w:type="dxa"/>
        <w:tblLayout w:type="fixed"/>
        <w:tblCellMar>
          <w:top w:w="0" w:type="dxa"/>
          <w:left w:w="108" w:type="dxa"/>
          <w:bottom w:w="0" w:type="dxa"/>
          <w:right w:w="108" w:type="dxa"/>
        </w:tblCellMar>
      </w:tblPr>
      <w:tblGrid>
        <w:gridCol w:w="1115"/>
        <w:gridCol w:w="2320"/>
        <w:gridCol w:w="1467"/>
        <w:gridCol w:w="2091"/>
        <w:gridCol w:w="2407"/>
      </w:tblGrid>
      <w:tr w14:paraId="1B3D91B9">
        <w:tblPrEx>
          <w:tblCellMar>
            <w:top w:w="0" w:type="dxa"/>
            <w:left w:w="108" w:type="dxa"/>
            <w:bottom w:w="0" w:type="dxa"/>
            <w:right w:w="108" w:type="dxa"/>
          </w:tblCellMar>
        </w:tblPrEx>
        <w:trPr>
          <w:trHeight w:val="1032" w:hRule="exact"/>
        </w:trPr>
        <w:tc>
          <w:tcPr>
            <w:tcW w:w="59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7D3A5FFC">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项目</w:t>
            </w:r>
          </w:p>
          <w:p w14:paraId="7742E5A1">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名称</w:t>
            </w:r>
          </w:p>
        </w:tc>
        <w:tc>
          <w:tcPr>
            <w:tcW w:w="2014" w:type="pct"/>
            <w:gridSpan w:val="2"/>
            <w:tcBorders>
              <w:top w:val="single" w:color="auto" w:sz="4" w:space="0"/>
              <w:left w:val="nil"/>
              <w:bottom w:val="single" w:color="auto" w:sz="4" w:space="0"/>
              <w:right w:val="single" w:color="000000" w:sz="4" w:space="0"/>
            </w:tcBorders>
            <w:shd w:val="clear" w:color="auto" w:fill="auto"/>
            <w:noWrap/>
            <w:vAlign w:val="center"/>
          </w:tcPr>
          <w:p w14:paraId="5765F9C1">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lang w:val="en-US" w:eastAsia="zh-CN"/>
              </w:rPr>
              <w:t>福保街道2025年下半年法律服务项目</w:t>
            </w:r>
          </w:p>
        </w:tc>
        <w:tc>
          <w:tcPr>
            <w:tcW w:w="1112" w:type="pct"/>
            <w:tcBorders>
              <w:top w:val="single" w:color="auto" w:sz="4" w:space="0"/>
              <w:left w:val="nil"/>
              <w:bottom w:val="single" w:color="auto" w:sz="4" w:space="0"/>
              <w:right w:val="single" w:color="auto" w:sz="4" w:space="0"/>
            </w:tcBorders>
            <w:shd w:val="clear" w:color="auto" w:fill="auto"/>
            <w:noWrap/>
            <w:vAlign w:val="center"/>
          </w:tcPr>
          <w:p w14:paraId="19A60557">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1279" w:type="pct"/>
            <w:tcBorders>
              <w:top w:val="single" w:color="auto" w:sz="4" w:space="0"/>
              <w:left w:val="nil"/>
              <w:bottom w:val="single" w:color="auto" w:sz="4" w:space="0"/>
              <w:right w:val="single" w:color="auto" w:sz="4" w:space="0"/>
            </w:tcBorders>
            <w:shd w:val="clear" w:color="auto" w:fill="auto"/>
            <w:noWrap/>
            <w:vAlign w:val="center"/>
          </w:tcPr>
          <w:p w14:paraId="6B37F3FF">
            <w:pPr>
              <w:widowControl/>
              <w:spacing w:line="240" w:lineRule="auto"/>
              <w:ind w:firstLine="0" w:firstLineChars="0"/>
              <w:jc w:val="center"/>
              <w:rPr>
                <w:rFonts w:hint="default"/>
                <w:lang w:val="en-US" w:eastAsia="zh-CN"/>
              </w:rPr>
            </w:pPr>
            <w:r>
              <w:rPr>
                <w:rFonts w:hint="eastAsia" w:ascii="仿宋_GB2312" w:hAnsi="仿宋_GB2312" w:eastAsia="仿宋_GB2312" w:cs="仿宋_GB2312"/>
                <w:kern w:val="0"/>
                <w:sz w:val="24"/>
                <w:lang w:val="en-US" w:eastAsia="zh-CN"/>
              </w:rPr>
              <w:t>47万元</w:t>
            </w:r>
          </w:p>
        </w:tc>
      </w:tr>
      <w:tr w14:paraId="4CAA4CCF">
        <w:tblPrEx>
          <w:tblCellMar>
            <w:top w:w="0" w:type="dxa"/>
            <w:left w:w="108" w:type="dxa"/>
            <w:bottom w:w="0" w:type="dxa"/>
            <w:right w:w="108" w:type="dxa"/>
          </w:tblCellMar>
        </w:tblPrEx>
        <w:trPr>
          <w:trHeight w:val="722" w:hRule="exact"/>
        </w:trPr>
        <w:tc>
          <w:tcPr>
            <w:tcW w:w="593" w:type="pct"/>
            <w:tcBorders>
              <w:top w:val="nil"/>
              <w:left w:val="single" w:color="auto" w:sz="4" w:space="0"/>
              <w:bottom w:val="single" w:color="auto" w:sz="4" w:space="0"/>
              <w:right w:val="single" w:color="auto" w:sz="4" w:space="0"/>
            </w:tcBorders>
            <w:shd w:val="clear" w:color="auto" w:fill="auto"/>
            <w:noWrap/>
            <w:vAlign w:val="center"/>
          </w:tcPr>
          <w:p w14:paraId="28810652">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采购</w:t>
            </w:r>
          </w:p>
          <w:p w14:paraId="4D05A350">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部门</w:t>
            </w:r>
          </w:p>
        </w:tc>
        <w:tc>
          <w:tcPr>
            <w:tcW w:w="2014" w:type="pct"/>
            <w:gridSpan w:val="2"/>
            <w:tcBorders>
              <w:top w:val="single" w:color="auto" w:sz="4" w:space="0"/>
              <w:left w:val="nil"/>
              <w:bottom w:val="single" w:color="auto" w:sz="4" w:space="0"/>
              <w:right w:val="single" w:color="000000" w:sz="4" w:space="0"/>
            </w:tcBorders>
            <w:shd w:val="clear" w:color="auto" w:fill="auto"/>
            <w:noWrap/>
            <w:vAlign w:val="center"/>
          </w:tcPr>
          <w:p w14:paraId="71EEE905">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lang w:eastAsia="zh-CN"/>
              </w:rPr>
              <w:t>平安法治办公室（司法所）</w:t>
            </w:r>
          </w:p>
        </w:tc>
        <w:tc>
          <w:tcPr>
            <w:tcW w:w="1112" w:type="pct"/>
            <w:tcBorders>
              <w:top w:val="nil"/>
              <w:left w:val="nil"/>
              <w:bottom w:val="single" w:color="auto" w:sz="4" w:space="0"/>
              <w:right w:val="single" w:color="auto" w:sz="4" w:space="0"/>
            </w:tcBorders>
            <w:shd w:val="clear" w:color="auto" w:fill="auto"/>
            <w:noWrap/>
            <w:vAlign w:val="center"/>
          </w:tcPr>
          <w:p w14:paraId="408E8739">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1279" w:type="pct"/>
            <w:tcBorders>
              <w:top w:val="nil"/>
              <w:left w:val="nil"/>
              <w:bottom w:val="single" w:color="auto" w:sz="4" w:space="0"/>
              <w:right w:val="single" w:color="auto" w:sz="4" w:space="0"/>
            </w:tcBorders>
            <w:shd w:val="clear" w:color="auto" w:fill="auto"/>
            <w:noWrap/>
            <w:vAlign w:val="center"/>
          </w:tcPr>
          <w:p w14:paraId="0C423CB0">
            <w:pPr>
              <w:widowControl/>
              <w:spacing w:line="240" w:lineRule="auto"/>
              <w:ind w:firstLine="720" w:firstLineChars="30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eastAsia="zh-CN"/>
              </w:rPr>
              <w:t>李先生</w:t>
            </w:r>
          </w:p>
        </w:tc>
      </w:tr>
      <w:tr w14:paraId="6D4D7919">
        <w:tblPrEx>
          <w:tblCellMar>
            <w:top w:w="0" w:type="dxa"/>
            <w:left w:w="108" w:type="dxa"/>
            <w:bottom w:w="0" w:type="dxa"/>
            <w:right w:w="108" w:type="dxa"/>
          </w:tblCellMar>
        </w:tblPrEx>
        <w:trPr>
          <w:trHeight w:val="240" w:hRule="atLeast"/>
        </w:trPr>
        <w:tc>
          <w:tcPr>
            <w:tcW w:w="593" w:type="pct"/>
            <w:tcBorders>
              <w:top w:val="nil"/>
              <w:left w:val="single" w:color="auto" w:sz="4" w:space="0"/>
              <w:bottom w:val="single" w:color="auto" w:sz="4" w:space="0"/>
              <w:right w:val="single" w:color="auto" w:sz="4" w:space="0"/>
            </w:tcBorders>
            <w:shd w:val="clear" w:color="auto" w:fill="auto"/>
            <w:noWrap/>
            <w:vAlign w:val="center"/>
          </w:tcPr>
          <w:p w14:paraId="4B6436EA">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采购</w:t>
            </w:r>
          </w:p>
          <w:p w14:paraId="1E2E4A0C">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类型</w:t>
            </w:r>
          </w:p>
        </w:tc>
        <w:tc>
          <w:tcPr>
            <w:tcW w:w="1234" w:type="pct"/>
            <w:tcBorders>
              <w:top w:val="single" w:color="auto" w:sz="4" w:space="0"/>
              <w:left w:val="nil"/>
              <w:bottom w:val="single" w:color="auto" w:sz="4" w:space="0"/>
              <w:right w:val="single" w:color="auto" w:sz="4" w:space="0"/>
            </w:tcBorders>
            <w:shd w:val="clear" w:color="auto" w:fill="auto"/>
            <w:noWrap/>
            <w:vAlign w:val="center"/>
          </w:tcPr>
          <w:p w14:paraId="5CED039A">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sym w:font="Wingdings 2" w:char="0052"/>
            </w: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14:paraId="59513FD8">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14:paraId="2F775766">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780" w:type="pct"/>
            <w:tcBorders>
              <w:top w:val="single" w:color="auto" w:sz="4" w:space="0"/>
              <w:left w:val="nil"/>
              <w:bottom w:val="single" w:color="auto" w:sz="4" w:space="0"/>
              <w:right w:val="single" w:color="auto" w:sz="4" w:space="0"/>
            </w:tcBorders>
            <w:vAlign w:val="center"/>
          </w:tcPr>
          <w:p w14:paraId="1BF068EB">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采购方式</w:t>
            </w:r>
          </w:p>
        </w:tc>
        <w:tc>
          <w:tcPr>
            <w:tcW w:w="2392"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1DEC114">
            <w:pPr>
              <w:widowControl/>
              <w:spacing w:line="240" w:lineRule="auto"/>
              <w:ind w:firstLine="0" w:firstLineChars="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□直接确定供应商（3万元以下）</w:t>
            </w:r>
            <w:r>
              <w:rPr>
                <w:rFonts w:hint="eastAsia" w:ascii="仿宋_GB2312" w:hAnsi="仿宋_GB2312" w:eastAsia="仿宋_GB2312" w:cs="仿宋_GB2312"/>
                <w:b/>
                <w:bCs/>
                <w:kern w:val="0"/>
                <w:sz w:val="24"/>
              </w:rPr>
              <w:sym w:font="Wingdings 2" w:char="00A3"/>
            </w:r>
            <w:r>
              <w:rPr>
                <w:rFonts w:hint="eastAsia" w:ascii="仿宋_GB2312" w:hAnsi="仿宋_GB2312" w:eastAsia="仿宋_GB2312" w:cs="仿宋_GB2312"/>
                <w:b/>
                <w:bCs/>
                <w:kern w:val="0"/>
                <w:sz w:val="24"/>
              </w:rPr>
              <w:t>询价</w:t>
            </w:r>
          </w:p>
          <w:p w14:paraId="01EF4CA4">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rPr>
              <w:t xml:space="preserve">□直接确定供应商（特殊）  </w:t>
            </w:r>
            <w:r>
              <w:rPr>
                <w:rFonts w:hint="eastAsia" w:ascii="仿宋_GB2312" w:hAnsi="仿宋_GB2312" w:eastAsia="仿宋_GB2312" w:cs="仿宋_GB2312"/>
                <w:b/>
                <w:bCs/>
                <w:kern w:val="0"/>
                <w:sz w:val="24"/>
              </w:rPr>
              <w:sym w:font="Wingdings 2" w:char="0052"/>
            </w:r>
            <w:r>
              <w:rPr>
                <w:rFonts w:hint="eastAsia" w:ascii="仿宋_GB2312" w:hAnsi="仿宋_GB2312" w:eastAsia="仿宋_GB2312" w:cs="仿宋_GB2312"/>
                <w:b/>
                <w:bCs/>
                <w:kern w:val="0"/>
                <w:sz w:val="24"/>
              </w:rPr>
              <w:t>比价谈判</w:t>
            </w:r>
          </w:p>
        </w:tc>
      </w:tr>
      <w:tr w14:paraId="1828F705">
        <w:tblPrEx>
          <w:tblCellMar>
            <w:top w:w="0" w:type="dxa"/>
            <w:left w:w="108" w:type="dxa"/>
            <w:bottom w:w="0" w:type="dxa"/>
            <w:right w:w="108" w:type="dxa"/>
          </w:tblCellMar>
        </w:tblPrEx>
        <w:trPr>
          <w:trHeight w:val="680" w:hRule="atLeast"/>
        </w:trPr>
        <w:tc>
          <w:tcPr>
            <w:tcW w:w="593" w:type="pct"/>
            <w:tcBorders>
              <w:top w:val="nil"/>
              <w:left w:val="single" w:color="auto" w:sz="4" w:space="0"/>
              <w:bottom w:val="single" w:color="auto" w:sz="4" w:space="0"/>
              <w:right w:val="single" w:color="auto" w:sz="4" w:space="0"/>
            </w:tcBorders>
            <w:shd w:val="clear" w:color="auto" w:fill="auto"/>
            <w:noWrap/>
            <w:vAlign w:val="center"/>
          </w:tcPr>
          <w:p w14:paraId="4A6FE325">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项目</w:t>
            </w:r>
          </w:p>
          <w:p w14:paraId="399016AC">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背景</w:t>
            </w:r>
          </w:p>
        </w:tc>
        <w:tc>
          <w:tcPr>
            <w:tcW w:w="4406" w:type="pct"/>
            <w:gridSpan w:val="4"/>
            <w:tcBorders>
              <w:top w:val="single" w:color="auto" w:sz="4" w:space="0"/>
              <w:left w:val="nil"/>
              <w:bottom w:val="single" w:color="auto" w:sz="4" w:space="0"/>
              <w:right w:val="single" w:color="auto" w:sz="4" w:space="0"/>
            </w:tcBorders>
            <w:vAlign w:val="center"/>
          </w:tcPr>
          <w:p w14:paraId="266383F5">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eastAsia="zh-CN"/>
              </w:rPr>
              <w:t>助力福保街道继续推进信访法治化改革，及时解决社会矛盾，为辖区群众提供便捷、优质的法律服务，促进社会的和谐稳定</w:t>
            </w:r>
            <w:r>
              <w:rPr>
                <w:rFonts w:hint="eastAsia" w:ascii="仿宋_GB2312" w:hAnsi="仿宋_GB2312" w:eastAsia="仿宋_GB2312" w:cs="仿宋_GB2312"/>
                <w:kern w:val="0"/>
                <w:sz w:val="24"/>
                <w:lang w:val="en-US" w:eastAsia="zh-CN"/>
              </w:rPr>
              <w:t>。</w:t>
            </w:r>
          </w:p>
        </w:tc>
      </w:tr>
      <w:tr w14:paraId="7611B19F">
        <w:tblPrEx>
          <w:tblCellMar>
            <w:top w:w="0" w:type="dxa"/>
            <w:left w:w="108" w:type="dxa"/>
            <w:bottom w:w="0" w:type="dxa"/>
            <w:right w:w="108" w:type="dxa"/>
          </w:tblCellMar>
        </w:tblPrEx>
        <w:trPr>
          <w:trHeight w:val="712" w:hRule="atLeast"/>
        </w:trPr>
        <w:tc>
          <w:tcPr>
            <w:tcW w:w="593" w:type="pct"/>
            <w:vMerge w:val="restart"/>
            <w:tcBorders>
              <w:top w:val="nil"/>
              <w:left w:val="single" w:color="auto" w:sz="4" w:space="0"/>
              <w:bottom w:val="single" w:color="auto" w:sz="4" w:space="0"/>
              <w:right w:val="single" w:color="auto" w:sz="4" w:space="0"/>
            </w:tcBorders>
            <w:shd w:val="clear" w:color="auto" w:fill="auto"/>
            <w:noWrap/>
            <w:vAlign w:val="center"/>
          </w:tcPr>
          <w:p w14:paraId="40BA5062">
            <w:pPr>
              <w:widowControl/>
              <w:spacing w:line="240" w:lineRule="auto"/>
              <w:ind w:firstLine="0" w:firstLineChars="0"/>
              <w:jc w:val="center"/>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项目</w:t>
            </w:r>
          </w:p>
          <w:p w14:paraId="1685030B">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需求</w:t>
            </w:r>
          </w:p>
        </w:tc>
        <w:tc>
          <w:tcPr>
            <w:tcW w:w="4406" w:type="pct"/>
            <w:gridSpan w:val="4"/>
            <w:tcBorders>
              <w:top w:val="single" w:color="auto" w:sz="4" w:space="0"/>
              <w:left w:val="nil"/>
              <w:bottom w:val="single" w:color="auto" w:sz="4" w:space="0"/>
              <w:right w:val="single" w:color="auto" w:sz="4" w:space="0"/>
            </w:tcBorders>
          </w:tcPr>
          <w:p w14:paraId="2442F58F">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lang w:val="en-US" w:eastAsia="zh-CN"/>
              </w:rPr>
              <w:t>一</w:t>
            </w:r>
            <w:r>
              <w:rPr>
                <w:rFonts w:hint="eastAsia" w:ascii="仿宋_GB2312" w:hAnsi="仿宋_GB2312" w:eastAsia="仿宋_GB2312" w:cs="仿宋_GB2312"/>
                <w:kern w:val="0"/>
                <w:sz w:val="24"/>
                <w:lang w:eastAsia="zh-CN"/>
              </w:rPr>
              <w:t>）服务</w:t>
            </w:r>
            <w:r>
              <w:rPr>
                <w:rFonts w:hint="eastAsia" w:ascii="仿宋_GB2312" w:hAnsi="仿宋_GB2312" w:eastAsia="仿宋_GB2312" w:cs="仿宋_GB2312"/>
                <w:kern w:val="0"/>
                <w:sz w:val="24"/>
                <w:lang w:val="en-US" w:eastAsia="zh-CN"/>
              </w:rPr>
              <w:t>需求</w:t>
            </w:r>
          </w:p>
          <w:p w14:paraId="293E73B9">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eastAsia="zh-CN"/>
              </w:rPr>
              <w:t>成交供应商提供的服务包含但不限于以下内容：</w:t>
            </w:r>
          </w:p>
          <w:p w14:paraId="13613B14">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1.为街道办信访工作的重大决策、行政行为、合同行为及其他法律事务提供法律意见；</w:t>
            </w:r>
          </w:p>
          <w:p w14:paraId="63D25889">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2.指派专业人员在甲方指定的工作地点提供法律服务：</w:t>
            </w:r>
          </w:p>
          <w:p w14:paraId="392513A4">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lang w:eastAsia="zh-CN"/>
              </w:rPr>
              <w:t>应</w:t>
            </w:r>
            <w:r>
              <w:rPr>
                <w:rFonts w:hint="eastAsia" w:ascii="仿宋_GB2312" w:hAnsi="仿宋_GB2312" w:eastAsia="仿宋_GB2312" w:cs="仿宋_GB2312"/>
                <w:kern w:val="0"/>
                <w:sz w:val="24"/>
                <w:lang w:val="en-US" w:eastAsia="zh-CN"/>
              </w:rPr>
              <w:t>福保街道平安法治办（司法所）</w:t>
            </w:r>
            <w:r>
              <w:rPr>
                <w:rFonts w:hint="eastAsia" w:ascii="仿宋_GB2312" w:hAnsi="仿宋_GB2312" w:eastAsia="仿宋_GB2312" w:cs="仿宋_GB2312"/>
                <w:kern w:val="0"/>
                <w:sz w:val="24"/>
                <w:lang w:eastAsia="zh-CN"/>
              </w:rPr>
              <w:t>要求，需</w:t>
            </w:r>
            <w:r>
              <w:rPr>
                <w:rFonts w:hint="eastAsia" w:ascii="仿宋_GB2312" w:hAnsi="仿宋_GB2312" w:eastAsia="仿宋_GB2312" w:cs="仿宋_GB2312"/>
                <w:kern w:val="0"/>
                <w:sz w:val="24"/>
                <w:lang w:val="en-US" w:eastAsia="zh-CN"/>
              </w:rPr>
              <w:t>至少指派</w:t>
            </w:r>
            <w:r>
              <w:rPr>
                <w:rFonts w:hint="eastAsia" w:ascii="仿宋_GB2312" w:hAnsi="仿宋_GB2312" w:eastAsia="仿宋_GB2312" w:cs="仿宋_GB2312"/>
                <w:kern w:val="0"/>
                <w:sz w:val="24"/>
                <w:lang w:eastAsia="zh-CN"/>
              </w:rPr>
              <w:t>1名专业人员常驻</w:t>
            </w:r>
            <w:r>
              <w:rPr>
                <w:rFonts w:hint="eastAsia" w:ascii="仿宋_GB2312" w:hAnsi="仿宋_GB2312" w:eastAsia="仿宋_GB2312" w:cs="仿宋_GB2312"/>
                <w:kern w:val="0"/>
                <w:sz w:val="24"/>
                <w:lang w:val="en-US" w:eastAsia="zh-CN"/>
              </w:rPr>
              <w:t>综治中心</w:t>
            </w:r>
            <w:r>
              <w:rPr>
                <w:rFonts w:hint="eastAsia" w:ascii="仿宋_GB2312" w:hAnsi="仿宋_GB2312" w:eastAsia="仿宋_GB2312" w:cs="仿宋_GB2312"/>
                <w:kern w:val="0"/>
                <w:sz w:val="24"/>
                <w:lang w:eastAsia="zh-CN"/>
              </w:rPr>
              <w:t>，承担“访前法律工作室”职能：1.接待来访并甄别事项性质，按诉访分离原则引导诉讼/仲裁/复议等法定救济途径；2.提供政策解读、信访外维权引导及法律咨询服务；3.对接纠纷调解需求，协同司法所开展人民调解并引导司法确认；4.协同心理疏导人员平复过激情绪，引导理性表达诉求；5.开展法律评估（含信访追责依据调查、无理闹访行为研判），为职能部门及公安机关提供处置依据。</w:t>
            </w:r>
          </w:p>
          <w:p w14:paraId="0CE1A033">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（2）应福保街道办事处综合行政执法队要求，需至少指派1名专业人员常驻福保街道办事处综合行政执法队办公，</w:t>
            </w:r>
            <w:r>
              <w:rPr>
                <w:rFonts w:hint="eastAsia" w:ascii="仿宋_GB2312" w:hAnsi="仿宋_GB2312" w:eastAsia="仿宋_GB2312" w:cs="仿宋_GB2312"/>
                <w:kern w:val="0"/>
                <w:sz w:val="24"/>
                <w:lang w:eastAsia="zh-CN"/>
              </w:rPr>
              <w:t>负责案件全流程法律支撑，包括：1.案件办理指导（审查文书、协助取证、评查案卷）；2.法律咨询服务（出具意见、听证支持、重大案件研讨）；3.争议解决代理（复议诉讼应诉、律师函起草）；4.执法协同保障（参与疑难案件处置、部门协作对接）；5.日常纠纷调处（信访调解、法律文书把关），需具备行政</w:t>
            </w:r>
            <w:r>
              <w:rPr>
                <w:rFonts w:hint="eastAsia" w:ascii="仿宋_GB2312" w:hAnsi="仿宋_GB2312" w:eastAsia="仿宋_GB2312" w:cs="仿宋_GB2312"/>
                <w:kern w:val="0"/>
                <w:sz w:val="24"/>
                <w:lang w:val="en-US" w:eastAsia="zh-CN"/>
              </w:rPr>
              <w:t>执法相关专业知识</w:t>
            </w:r>
            <w:r>
              <w:rPr>
                <w:rFonts w:hint="eastAsia" w:ascii="仿宋_GB2312" w:hAnsi="仿宋_GB2312" w:eastAsia="仿宋_GB2312" w:cs="仿宋_GB2312"/>
                <w:kern w:val="0"/>
                <w:sz w:val="24"/>
                <w:lang w:eastAsia="zh-CN"/>
              </w:rPr>
              <w:t>及行政执法协作经验。</w:t>
            </w:r>
          </w:p>
          <w:p w14:paraId="1ED94D6B">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lang w:val="en-US" w:eastAsia="zh-CN"/>
              </w:rPr>
              <w:t>3</w:t>
            </w:r>
            <w:r>
              <w:rPr>
                <w:rFonts w:hint="eastAsia" w:ascii="仿宋_GB2312" w:hAnsi="仿宋_GB2312" w:eastAsia="仿宋_GB2312" w:cs="仿宋_GB2312"/>
                <w:kern w:val="0"/>
                <w:sz w:val="24"/>
                <w:lang w:eastAsia="zh-CN"/>
              </w:rPr>
              <w:t>）</w:t>
            </w:r>
            <w:r>
              <w:rPr>
                <w:rFonts w:hint="eastAsia" w:ascii="仿宋_GB2312" w:hAnsi="仿宋_GB2312" w:eastAsia="仿宋_GB2312" w:cs="仿宋_GB2312"/>
                <w:kern w:val="0"/>
                <w:sz w:val="24"/>
                <w:lang w:val="en-US" w:eastAsia="zh-CN"/>
              </w:rPr>
              <w:t>应深圳市福田保税区园区党委要求，需至少指派1名专业人员常驻保税中心办公，</w:t>
            </w:r>
            <w:r>
              <w:rPr>
                <w:rFonts w:hint="eastAsia" w:ascii="仿宋_GB2312" w:hAnsi="仿宋_GB2312" w:eastAsia="仿宋_GB2312" w:cs="仿宋_GB2312"/>
                <w:kern w:val="0"/>
                <w:sz w:val="24"/>
                <w:lang w:eastAsia="zh-CN"/>
              </w:rPr>
              <w:t>在福保街道办制度框架下开展以下工作：负责物业管理纠纷调解、信访处置及法律咨询服务；配合街道部门协调化解矛盾纠纷，组织维稳主题活动；参与突发事件应急处置；为园区政务管理、公共事务、企业对接等提供常态化法律支持，保障辖区稳定发展。</w:t>
            </w:r>
            <w:bookmarkStart w:id="0" w:name="_GoBack"/>
            <w:bookmarkEnd w:id="0"/>
          </w:p>
          <w:p w14:paraId="7726A773">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val="en-US" w:eastAsia="zh-CN"/>
              </w:rPr>
              <w:t>3.福保街道需要的其他法律服务工作。</w:t>
            </w:r>
          </w:p>
          <w:p w14:paraId="2FEBCE73">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（二）服务要求</w:t>
            </w:r>
          </w:p>
          <w:p w14:paraId="745A0EF7">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1.提供驻点律师服务的律师事务所应符合以下条件：（</w:t>
            </w: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lang w:eastAsia="zh-CN"/>
              </w:rPr>
              <w:t>）律师事务所及驻点律师在近三年内无行业处分和行政处罚记录；（2）律师事务所需组建</w:t>
            </w:r>
            <w:r>
              <w:rPr>
                <w:rFonts w:hint="eastAsia" w:ascii="仿宋_GB2312" w:hAnsi="仿宋_GB2312" w:eastAsia="仿宋_GB2312" w:cs="仿宋_GB2312"/>
                <w:kern w:val="0"/>
                <w:sz w:val="24"/>
                <w:lang w:val="en-US" w:eastAsia="zh-CN"/>
              </w:rPr>
              <w:t>相应的专业法律</w:t>
            </w:r>
            <w:r>
              <w:rPr>
                <w:rFonts w:hint="eastAsia" w:ascii="仿宋_GB2312" w:hAnsi="仿宋_GB2312" w:eastAsia="仿宋_GB2312" w:cs="仿宋_GB2312"/>
                <w:kern w:val="0"/>
                <w:sz w:val="24"/>
                <w:lang w:eastAsia="zh-CN"/>
              </w:rPr>
              <w:t>服务团队，成员须精通行政法规、矛盾纠纷调解及物业管理实务，具备丰富调解经验、综合能力强、职业道德良好（含驻</w:t>
            </w:r>
            <w:r>
              <w:rPr>
                <w:rFonts w:hint="eastAsia" w:ascii="仿宋_GB2312" w:hAnsi="仿宋_GB2312" w:eastAsia="仿宋_GB2312" w:cs="仿宋_GB2312"/>
                <w:kern w:val="0"/>
                <w:sz w:val="24"/>
                <w:lang w:val="en-US" w:eastAsia="zh-CN"/>
              </w:rPr>
              <w:t>点</w:t>
            </w:r>
            <w:r>
              <w:rPr>
                <w:rFonts w:hint="eastAsia" w:ascii="仿宋_GB2312" w:hAnsi="仿宋_GB2312" w:eastAsia="仿宋_GB2312" w:cs="仿宋_GB2312"/>
                <w:kern w:val="0"/>
                <w:sz w:val="24"/>
                <w:lang w:eastAsia="zh-CN"/>
              </w:rPr>
              <w:t>律师），负责为采购方提供法律服务。</w:t>
            </w:r>
          </w:p>
          <w:p w14:paraId="2B2C05F6">
            <w:pPr>
              <w:widowControl/>
              <w:spacing w:line="240" w:lineRule="auto"/>
              <w:ind w:firstLine="0" w:firstLineChars="0"/>
              <w:jc w:val="left"/>
              <w:rPr>
                <w:rFonts w:hint="eastAsia"/>
                <w:lang w:eastAsia="zh-CN"/>
              </w:rPr>
            </w:pPr>
            <w:r>
              <w:rPr>
                <w:rFonts w:hint="eastAsia" w:ascii="仿宋_GB2312" w:hAnsi="仿宋_GB2312" w:eastAsia="仿宋_GB2312" w:cs="仿宋_GB2312"/>
                <w:kern w:val="0"/>
                <w:sz w:val="24"/>
                <w:lang w:eastAsia="zh-CN"/>
              </w:rPr>
              <w:t>2.驻点律师应符合以下条件：（1）驻点律师需为专职人员，具备法学本科以上学历，持有效的《律师执业证》；（</w:t>
            </w:r>
            <w:r>
              <w:rPr>
                <w:rFonts w:hint="eastAsia" w:ascii="仿宋_GB2312" w:hAnsi="仿宋_GB2312" w:eastAsia="仿宋_GB2312" w:cs="仿宋_GB2312"/>
                <w:kern w:val="0"/>
                <w:sz w:val="24"/>
                <w:lang w:val="en-US" w:eastAsia="zh-CN"/>
              </w:rPr>
              <w:t>2</w:t>
            </w:r>
            <w:r>
              <w:rPr>
                <w:rFonts w:hint="eastAsia" w:ascii="仿宋_GB2312" w:hAnsi="仿宋_GB2312" w:eastAsia="仿宋_GB2312" w:cs="仿宋_GB2312"/>
                <w:kern w:val="0"/>
                <w:sz w:val="24"/>
                <w:lang w:eastAsia="zh-CN"/>
              </w:rPr>
              <w:t>）驻点律师能够如期完成交办的日常工作，并能够及时、准确处理重大、复杂、疑难、紧急问题，提供书面反馈意见或建议；（</w:t>
            </w:r>
            <w:r>
              <w:rPr>
                <w:rFonts w:hint="eastAsia" w:ascii="仿宋_GB2312" w:hAnsi="仿宋_GB2312" w:eastAsia="仿宋_GB2312" w:cs="仿宋_GB2312"/>
                <w:kern w:val="0"/>
                <w:sz w:val="24"/>
                <w:lang w:val="en-US" w:eastAsia="zh-CN"/>
              </w:rPr>
              <w:t>3</w:t>
            </w:r>
            <w:r>
              <w:rPr>
                <w:rFonts w:hint="eastAsia" w:ascii="仿宋_GB2312" w:hAnsi="仿宋_GB2312" w:eastAsia="仿宋_GB2312" w:cs="仿宋_GB2312"/>
                <w:kern w:val="0"/>
                <w:sz w:val="24"/>
                <w:lang w:eastAsia="zh-CN"/>
              </w:rPr>
              <w:t>）驻点律师须常驻办公。因合理原因无法到岗的，经用人单位同意并完成工作交接后，可由驻点律师团队指派其他律师接替，指派人员需熟悉</w:t>
            </w:r>
            <w:r>
              <w:rPr>
                <w:rFonts w:hint="eastAsia" w:ascii="仿宋_GB2312" w:hAnsi="仿宋_GB2312" w:eastAsia="仿宋_GB2312" w:cs="仿宋_GB2312"/>
                <w:kern w:val="0"/>
                <w:sz w:val="24"/>
                <w:lang w:val="en-US" w:eastAsia="zh-CN"/>
              </w:rPr>
              <w:t>各类</w:t>
            </w:r>
            <w:r>
              <w:rPr>
                <w:rFonts w:hint="eastAsia" w:ascii="仿宋_GB2312" w:hAnsi="仿宋_GB2312" w:eastAsia="仿宋_GB2312" w:cs="仿宋_GB2312"/>
                <w:kern w:val="0"/>
                <w:sz w:val="24"/>
                <w:lang w:eastAsia="zh-CN"/>
              </w:rPr>
              <w:t>法律法规并能处理采购</w:t>
            </w:r>
            <w:r>
              <w:rPr>
                <w:rFonts w:hint="eastAsia" w:ascii="仿宋_GB2312" w:hAnsi="仿宋_GB2312" w:eastAsia="仿宋_GB2312" w:cs="仿宋_GB2312"/>
                <w:kern w:val="0"/>
                <w:sz w:val="24"/>
                <w:lang w:val="en-US" w:eastAsia="zh-CN"/>
              </w:rPr>
              <w:t>方</w:t>
            </w:r>
            <w:r>
              <w:rPr>
                <w:rFonts w:hint="eastAsia" w:ascii="仿宋_GB2312" w:hAnsi="仿宋_GB2312" w:eastAsia="仿宋_GB2312" w:cs="仿宋_GB2312"/>
                <w:kern w:val="0"/>
                <w:sz w:val="24"/>
                <w:lang w:eastAsia="zh-CN"/>
              </w:rPr>
              <w:t>日常法律事务。</w:t>
            </w:r>
          </w:p>
        </w:tc>
      </w:tr>
      <w:tr w14:paraId="5F9D5EE1">
        <w:tblPrEx>
          <w:tblCellMar>
            <w:top w:w="0" w:type="dxa"/>
            <w:left w:w="108" w:type="dxa"/>
            <w:bottom w:w="0" w:type="dxa"/>
            <w:right w:w="108" w:type="dxa"/>
          </w:tblCellMar>
        </w:tblPrEx>
        <w:trPr>
          <w:trHeight w:val="2601" w:hRule="atLeast"/>
        </w:trPr>
        <w:tc>
          <w:tcPr>
            <w:tcW w:w="593" w:type="pct"/>
            <w:vMerge w:val="continue"/>
            <w:tcBorders>
              <w:top w:val="nil"/>
              <w:left w:val="single" w:color="auto" w:sz="4" w:space="0"/>
              <w:bottom w:val="single" w:color="auto" w:sz="4" w:space="0"/>
              <w:right w:val="single" w:color="auto" w:sz="4" w:space="0"/>
            </w:tcBorders>
            <w:vAlign w:val="center"/>
          </w:tcPr>
          <w:p w14:paraId="3FCC2130">
            <w:pPr>
              <w:widowControl/>
              <w:spacing w:line="240" w:lineRule="auto"/>
              <w:ind w:firstLine="0" w:firstLineChars="0"/>
              <w:jc w:val="center"/>
              <w:rPr>
                <w:rFonts w:ascii="仿宋_GB2312" w:hAnsi="仿宋_GB2312" w:eastAsia="仿宋_GB2312" w:cs="仿宋_GB2312"/>
                <w:kern w:val="0"/>
                <w:sz w:val="24"/>
              </w:rPr>
            </w:pPr>
          </w:p>
        </w:tc>
        <w:tc>
          <w:tcPr>
            <w:tcW w:w="4406" w:type="pct"/>
            <w:gridSpan w:val="4"/>
            <w:tcBorders>
              <w:top w:val="single" w:color="auto" w:sz="4" w:space="0"/>
              <w:left w:val="nil"/>
              <w:bottom w:val="single" w:color="auto" w:sz="4" w:space="0"/>
              <w:right w:val="single" w:color="auto" w:sz="4" w:space="0"/>
            </w:tcBorders>
          </w:tcPr>
          <w:p w14:paraId="11B6EC70">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项目商务要求：</w:t>
            </w:r>
          </w:p>
          <w:p w14:paraId="2DD1CC23">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1.服务期限：</w:t>
            </w:r>
          </w:p>
          <w:p w14:paraId="728056F5">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eastAsia" w:ascii="仿宋_GB2312" w:hAnsi="仿宋_GB2312" w:eastAsia="仿宋_GB2312" w:cs="仿宋_GB2312"/>
                <w:kern w:val="0"/>
                <w:sz w:val="24"/>
                <w:lang w:eastAsia="zh-CN"/>
              </w:rPr>
              <w:t>自合同签订之日起</w:t>
            </w:r>
            <w:r>
              <w:rPr>
                <w:rFonts w:hint="eastAsia" w:ascii="仿宋_GB2312" w:hAnsi="仿宋_GB2312" w:eastAsia="仿宋_GB2312" w:cs="仿宋_GB2312"/>
                <w:kern w:val="0"/>
                <w:sz w:val="24"/>
              </w:rPr>
              <w:t>-202</w:t>
            </w: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年</w:t>
            </w:r>
            <w:r>
              <w:rPr>
                <w:rFonts w:hint="eastAsia" w:ascii="仿宋_GB2312" w:hAnsi="仿宋_GB2312" w:eastAsia="仿宋_GB2312" w:cs="仿宋_GB2312"/>
                <w:kern w:val="0"/>
                <w:sz w:val="24"/>
                <w:lang w:val="en-US" w:eastAsia="zh-CN"/>
              </w:rPr>
              <w:t>12</w:t>
            </w:r>
            <w:r>
              <w:rPr>
                <w:rFonts w:hint="eastAsia" w:ascii="仿宋_GB2312" w:hAnsi="仿宋_GB2312" w:eastAsia="仿宋_GB2312" w:cs="仿宋_GB2312"/>
                <w:kern w:val="0"/>
                <w:sz w:val="24"/>
              </w:rPr>
              <w:t>月</w:t>
            </w:r>
            <w:r>
              <w:rPr>
                <w:rFonts w:hint="eastAsia" w:ascii="仿宋_GB2312" w:hAnsi="仿宋_GB2312" w:eastAsia="仿宋_GB2312" w:cs="仿宋_GB2312"/>
                <w:kern w:val="0"/>
                <w:sz w:val="24"/>
                <w:lang w:val="en-US" w:eastAsia="zh-CN"/>
              </w:rPr>
              <w:t>31日前</w:t>
            </w:r>
          </w:p>
          <w:p w14:paraId="2A0E4C8D">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2.付款方式：</w:t>
            </w:r>
          </w:p>
          <w:p w14:paraId="42C00606">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eastAsia="zh-CN"/>
              </w:rPr>
              <w:t>本项目采用</w:t>
            </w:r>
            <w:r>
              <w:rPr>
                <w:rFonts w:hint="eastAsia" w:ascii="仿宋_GB2312" w:hAnsi="仿宋_GB2312" w:eastAsia="仿宋_GB2312" w:cs="仿宋_GB2312"/>
                <w:kern w:val="0"/>
                <w:sz w:val="24"/>
              </w:rPr>
              <w:t>分期付款：合同签订后，中标供应商提供符合规定的发票，</w:t>
            </w:r>
            <w:r>
              <w:rPr>
                <w:rFonts w:hint="eastAsia" w:ascii="仿宋_GB2312" w:hAnsi="仿宋_GB2312" w:eastAsia="仿宋_GB2312" w:cs="仿宋_GB2312"/>
                <w:kern w:val="0"/>
                <w:sz w:val="24"/>
                <w:lang w:eastAsia="zh-CN"/>
              </w:rPr>
              <w:t>街道办</w:t>
            </w:r>
            <w:r>
              <w:rPr>
                <w:rFonts w:hint="eastAsia" w:ascii="仿宋_GB2312" w:hAnsi="仿宋_GB2312" w:eastAsia="仿宋_GB2312" w:cs="仿宋_GB2312"/>
                <w:kern w:val="0"/>
                <w:sz w:val="24"/>
              </w:rPr>
              <w:t>支付合同总额的</w:t>
            </w:r>
            <w:r>
              <w:rPr>
                <w:rFonts w:hint="eastAsia" w:ascii="仿宋_GB2312" w:hAnsi="仿宋_GB2312" w:eastAsia="仿宋_GB2312" w:cs="仿宋_GB2312"/>
                <w:kern w:val="0"/>
                <w:sz w:val="24"/>
                <w:lang w:val="en-US" w:eastAsia="zh-CN"/>
              </w:rPr>
              <w:t>50%；</w:t>
            </w:r>
            <w:r>
              <w:rPr>
                <w:rFonts w:hint="eastAsia" w:ascii="仿宋_GB2312" w:hAnsi="仿宋_GB2312" w:eastAsia="仿宋_GB2312" w:cs="仿宋_GB2312"/>
                <w:kern w:val="0"/>
                <w:sz w:val="24"/>
              </w:rPr>
              <w:t>项目终验合格后，中标供应商提供符合规定的发票，街道办支付合同总额</w:t>
            </w:r>
            <w:r>
              <w:rPr>
                <w:rFonts w:hint="eastAsia" w:ascii="仿宋_GB2312" w:hAnsi="仿宋_GB2312" w:eastAsia="仿宋_GB2312" w:cs="仿宋_GB2312"/>
                <w:kern w:val="0"/>
                <w:sz w:val="24"/>
                <w:lang w:val="en-US" w:eastAsia="zh-CN"/>
              </w:rPr>
              <w:t>50</w:t>
            </w:r>
            <w:r>
              <w:rPr>
                <w:rFonts w:hint="eastAsia" w:ascii="仿宋_GB2312" w:hAnsi="仿宋_GB2312" w:eastAsia="仿宋_GB2312" w:cs="仿宋_GB2312"/>
                <w:kern w:val="0"/>
                <w:sz w:val="24"/>
              </w:rPr>
              <w:t>%。</w:t>
            </w:r>
          </w:p>
          <w:p w14:paraId="2A1E17B0">
            <w:pPr>
              <w:widowControl/>
              <w:numPr>
                <w:ilvl w:val="0"/>
                <w:numId w:val="1"/>
              </w:numPr>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报价要求：</w:t>
            </w:r>
            <w:r>
              <w:rPr>
                <w:rFonts w:hint="eastAsia" w:ascii="仿宋_GB2312" w:hAnsi="仿宋_GB2312" w:eastAsia="仿宋_GB2312" w:cs="仿宋_GB2312"/>
                <w:color w:val="auto"/>
                <w:kern w:val="0"/>
                <w:sz w:val="24"/>
                <w:lang w:eastAsia="zh-CN"/>
              </w:rPr>
              <w:t>在预算价格以内</w:t>
            </w:r>
            <w:r>
              <w:rPr>
                <w:rFonts w:hint="eastAsia" w:ascii="仿宋_GB2312" w:hAnsi="仿宋_GB2312" w:eastAsia="仿宋_GB2312" w:cs="仿宋_GB2312"/>
                <w:kern w:val="0"/>
                <w:sz w:val="24"/>
                <w:lang w:eastAsia="zh-CN"/>
              </w:rPr>
              <w:t>。</w:t>
            </w:r>
          </w:p>
          <w:p w14:paraId="7D1B1BB8">
            <w:pPr>
              <w:pStyle w:val="2"/>
              <w:numPr>
                <w:ilvl w:val="0"/>
                <w:numId w:val="0"/>
              </w:numPr>
              <w:ind w:right="0" w:rightChars="0"/>
            </w:pPr>
            <w:r>
              <w:rPr>
                <w:rFonts w:hint="eastAsia" w:ascii="仿宋_GB2312" w:hAnsi="仿宋_GB2312" w:eastAsia="仿宋_GB2312" w:cs="仿宋_GB2312"/>
                <w:b/>
                <w:bCs/>
                <w:kern w:val="0"/>
                <w:sz w:val="24"/>
                <w:lang w:val="en-US" w:eastAsia="zh-CN"/>
              </w:rPr>
              <w:t>备注：最终合同签订价格以我单位聘请的第三方审计价格为准。</w:t>
            </w:r>
          </w:p>
        </w:tc>
      </w:tr>
      <w:tr w14:paraId="2532E8F7">
        <w:tblPrEx>
          <w:tblCellMar>
            <w:top w:w="0" w:type="dxa"/>
            <w:left w:w="108" w:type="dxa"/>
            <w:bottom w:w="0" w:type="dxa"/>
            <w:right w:w="108" w:type="dxa"/>
          </w:tblCellMar>
        </w:tblPrEx>
        <w:trPr>
          <w:trHeight w:val="1430" w:hRule="atLeast"/>
        </w:trPr>
        <w:tc>
          <w:tcPr>
            <w:tcW w:w="593" w:type="pct"/>
            <w:tcBorders>
              <w:top w:val="nil"/>
              <w:left w:val="single" w:color="auto" w:sz="4" w:space="0"/>
              <w:bottom w:val="single" w:color="auto" w:sz="4" w:space="0"/>
              <w:right w:val="single" w:color="auto" w:sz="4" w:space="0"/>
            </w:tcBorders>
            <w:shd w:val="clear" w:color="auto" w:fill="auto"/>
            <w:vAlign w:val="center"/>
          </w:tcPr>
          <w:p w14:paraId="53BD13AD">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406" w:type="pct"/>
            <w:gridSpan w:val="4"/>
            <w:tcBorders>
              <w:top w:val="single" w:color="auto" w:sz="4" w:space="0"/>
              <w:left w:val="nil"/>
              <w:bottom w:val="single" w:color="auto" w:sz="4" w:space="0"/>
              <w:right w:val="single" w:color="auto" w:sz="4" w:space="0"/>
            </w:tcBorders>
          </w:tcPr>
          <w:p w14:paraId="48D0EA69">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1.具有独立法人资格或具有独立承担民事责任的能力的其它组织（提供营业执照或事业单位法人证等法人证明扫描件，原件备查）。</w:t>
            </w:r>
          </w:p>
          <w:p w14:paraId="379D5BCF">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2.本项目不接受联合体投标。</w:t>
            </w:r>
          </w:p>
          <w:p w14:paraId="571417C9">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记录名单。</w:t>
            </w:r>
          </w:p>
        </w:tc>
      </w:tr>
      <w:tr w14:paraId="5C6F1D66">
        <w:tblPrEx>
          <w:tblCellMar>
            <w:top w:w="0" w:type="dxa"/>
            <w:left w:w="108" w:type="dxa"/>
            <w:bottom w:w="0" w:type="dxa"/>
            <w:right w:w="108" w:type="dxa"/>
          </w:tblCellMar>
        </w:tblPrEx>
        <w:trPr>
          <w:trHeight w:val="1270" w:hRule="atLeast"/>
        </w:trPr>
        <w:tc>
          <w:tcPr>
            <w:tcW w:w="593" w:type="pct"/>
            <w:tcBorders>
              <w:top w:val="nil"/>
              <w:left w:val="single" w:color="auto" w:sz="4" w:space="0"/>
              <w:bottom w:val="single" w:color="auto" w:sz="4" w:space="0"/>
              <w:right w:val="single" w:color="auto" w:sz="4" w:space="0"/>
            </w:tcBorders>
            <w:shd w:val="clear" w:color="auto" w:fill="auto"/>
            <w:vAlign w:val="center"/>
          </w:tcPr>
          <w:p w14:paraId="47ACDB12">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4406" w:type="pct"/>
            <w:gridSpan w:val="4"/>
            <w:tcBorders>
              <w:top w:val="single" w:color="auto" w:sz="4" w:space="0"/>
              <w:left w:val="nil"/>
              <w:bottom w:val="single" w:color="auto" w:sz="4" w:space="0"/>
              <w:right w:val="single" w:color="auto" w:sz="4" w:space="0"/>
            </w:tcBorders>
          </w:tcPr>
          <w:p w14:paraId="3BB983D9">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rPr>
              <w:t>营业执照、经营范围等相关资质复印件</w:t>
            </w:r>
            <w:r>
              <w:rPr>
                <w:rFonts w:hint="eastAsia" w:ascii="仿宋_GB2312" w:hAnsi="仿宋_GB2312" w:eastAsia="仿宋_GB2312" w:cs="仿宋_GB2312"/>
                <w:kern w:val="0"/>
                <w:sz w:val="24"/>
                <w:lang w:eastAsia="zh-CN"/>
              </w:rPr>
              <w:t>；</w:t>
            </w:r>
          </w:p>
          <w:p w14:paraId="2EAD57C9">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2</w:t>
            </w:r>
            <w:r>
              <w:rPr>
                <w:rFonts w:hint="eastAsia" w:ascii="仿宋_GB2312" w:hAnsi="仿宋_GB2312" w:eastAsia="仿宋_GB2312" w:cs="仿宋_GB2312"/>
                <w:kern w:val="0"/>
                <w:sz w:val="24"/>
                <w:lang w:val="en-US" w:eastAsia="zh-CN"/>
              </w:rPr>
              <w:t>.</w:t>
            </w:r>
            <w:r>
              <w:rPr>
                <w:rFonts w:hint="eastAsia" w:ascii="仿宋_GB2312" w:hAnsi="仿宋_GB2312" w:eastAsia="仿宋_GB2312" w:cs="仿宋_GB2312"/>
                <w:kern w:val="0"/>
                <w:sz w:val="24"/>
              </w:rPr>
              <w:t>投标报价单（须写出详实内容：包括但不限于价格、服务项目、内容、服务人数等）；</w:t>
            </w:r>
          </w:p>
          <w:p w14:paraId="6083966A">
            <w:pPr>
              <w:widowControl/>
              <w:spacing w:line="240" w:lineRule="auto"/>
              <w:ind w:firstLine="0" w:firstLineChars="0"/>
              <w:jc w:val="left"/>
              <w:rPr>
                <w:rFonts w:hint="eastAsia" w:ascii="仿宋_GB2312" w:hAnsi="仿宋_GB2312" w:eastAsia="仿宋_GB2312" w:cs="仿宋_GB2312"/>
                <w:kern w:val="0"/>
                <w:sz w:val="24"/>
                <w:lang w:val="en-US" w:eastAsia="zh-CN"/>
              </w:rPr>
            </w:pPr>
            <w:r>
              <w:rPr>
                <w:rFonts w:hint="eastAsia" w:ascii="仿宋_GB2312" w:hAnsi="仿宋_GB2312" w:eastAsia="仿宋_GB2312" w:cs="仿宋_GB2312"/>
                <w:kern w:val="0"/>
                <w:sz w:val="24"/>
              </w:rPr>
              <w:t>3</w:t>
            </w:r>
            <w:r>
              <w:rPr>
                <w:rFonts w:hint="eastAsia" w:ascii="仿宋_GB2312" w:hAnsi="仿宋_GB2312" w:eastAsia="仿宋_GB2312" w:cs="仿宋_GB2312"/>
                <w:kern w:val="0"/>
                <w:sz w:val="24"/>
                <w:lang w:val="en-US" w:eastAsia="zh-CN"/>
              </w:rPr>
              <w:t>.加盖公章的《供应商基本情况表》必填（详见附件2）</w:t>
            </w:r>
          </w:p>
          <w:p w14:paraId="4733946D">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4.</w:t>
            </w:r>
            <w:r>
              <w:rPr>
                <w:rFonts w:hint="eastAsia" w:ascii="仿宋_GB2312" w:hAnsi="仿宋_GB2312" w:eastAsia="仿宋_GB2312" w:cs="仿宋_GB2312"/>
                <w:kern w:val="0"/>
                <w:sz w:val="24"/>
              </w:rPr>
              <w:t>对此项目的运营提供详细的服务方案；</w:t>
            </w:r>
          </w:p>
          <w:p w14:paraId="2A446C13">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5.</w:t>
            </w:r>
            <w:r>
              <w:rPr>
                <w:rFonts w:hint="eastAsia" w:ascii="仿宋_GB2312" w:hAnsi="仿宋_GB2312" w:eastAsia="仿宋_GB2312" w:cs="仿宋_GB2312"/>
                <w:kern w:val="0"/>
                <w:sz w:val="24"/>
              </w:rPr>
              <w:t>公司详细简介；</w:t>
            </w:r>
          </w:p>
          <w:p w14:paraId="46638730">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6.</w:t>
            </w:r>
            <w:r>
              <w:rPr>
                <w:rFonts w:hint="eastAsia" w:ascii="仿宋_GB2312" w:hAnsi="仿宋_GB2312" w:eastAsia="仿宋_GB2312" w:cs="仿宋_GB2312"/>
                <w:kern w:val="0"/>
                <w:sz w:val="24"/>
              </w:rPr>
              <w:t>项目相关案例、业绩等；</w:t>
            </w:r>
          </w:p>
          <w:p w14:paraId="648113A5">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7.</w:t>
            </w:r>
            <w:r>
              <w:rPr>
                <w:rFonts w:hint="eastAsia" w:ascii="仿宋_GB2312" w:hAnsi="仿宋_GB2312" w:eastAsia="仿宋_GB2312" w:cs="仿宋_GB2312"/>
                <w:kern w:val="0"/>
                <w:sz w:val="24"/>
              </w:rPr>
              <w:t>近三年内无行贿犯罪记录、无重大违法经营记录的声明和不存在处于被禁止参与政府采购活动期限内情形的声明函（声明函格式自拟）；</w:t>
            </w:r>
          </w:p>
          <w:p w14:paraId="31063F2C">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8.</w:t>
            </w:r>
            <w:r>
              <w:rPr>
                <w:rFonts w:hint="eastAsia" w:ascii="仿宋_GB2312" w:hAnsi="仿宋_GB2312" w:eastAsia="仿宋_GB2312" w:cs="仿宋_GB2312"/>
                <w:kern w:val="0"/>
                <w:sz w:val="24"/>
              </w:rPr>
              <w:t>可体现投标人综合实力及运营管理能力的其他资料</w:t>
            </w:r>
          </w:p>
          <w:p w14:paraId="5DED681A">
            <w:pPr>
              <w:widowControl/>
              <w:spacing w:line="240" w:lineRule="auto"/>
              <w:ind w:firstLine="0" w:firstLineChars="0"/>
              <w:jc w:val="left"/>
              <w:rPr>
                <w:rFonts w:hint="default"/>
                <w:lang w:val="en-US" w:eastAsia="zh-CN"/>
              </w:rPr>
            </w:pPr>
            <w:r>
              <w:rPr>
                <w:rFonts w:hint="eastAsia" w:ascii="仿宋_GB2312" w:hAnsi="仿宋_GB2312" w:eastAsia="仿宋_GB2312" w:cs="仿宋_GB2312"/>
                <w:kern w:val="0"/>
                <w:sz w:val="24"/>
              </w:rPr>
              <w:t>以上文件均需每页加盖单位公章并装订成册，且应将资料密封存入不透明文件袋中，贴密封条并加盖公章，否则视为无效投标。</w:t>
            </w:r>
          </w:p>
        </w:tc>
      </w:tr>
    </w:tbl>
    <w:p w14:paraId="7A1F74DF">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sectPr>
      <w:footerReference r:id="rId3"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060E6">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547222">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547222">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B81B91"/>
    <w:multiLevelType w:val="singleLevel"/>
    <w:tmpl w:val="C1B81B91"/>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QyOTA1NmRlMDdiYzE2ZTNmODFhZGM5ZDc4ZDExZDYifQ=="/>
  </w:docVars>
  <w:rsids>
    <w:rsidRoot w:val="194B399D"/>
    <w:rsid w:val="03EDC5FF"/>
    <w:rsid w:val="04D31F87"/>
    <w:rsid w:val="07D53B5D"/>
    <w:rsid w:val="091C13C7"/>
    <w:rsid w:val="0A4669B5"/>
    <w:rsid w:val="0B987C17"/>
    <w:rsid w:val="0BE877E8"/>
    <w:rsid w:val="0FA0435C"/>
    <w:rsid w:val="11312983"/>
    <w:rsid w:val="14C24AD9"/>
    <w:rsid w:val="172C00A3"/>
    <w:rsid w:val="18B761FE"/>
    <w:rsid w:val="194B399D"/>
    <w:rsid w:val="1AF3636A"/>
    <w:rsid w:val="1C386AE7"/>
    <w:rsid w:val="1CD203FA"/>
    <w:rsid w:val="1D1041D7"/>
    <w:rsid w:val="251026CF"/>
    <w:rsid w:val="256B0D97"/>
    <w:rsid w:val="25F06A79"/>
    <w:rsid w:val="2A2F4E39"/>
    <w:rsid w:val="2DBC1349"/>
    <w:rsid w:val="2E544988"/>
    <w:rsid w:val="2FBB6ACC"/>
    <w:rsid w:val="304A7E50"/>
    <w:rsid w:val="334D7C7F"/>
    <w:rsid w:val="340E45C5"/>
    <w:rsid w:val="35A52B16"/>
    <w:rsid w:val="368A6B44"/>
    <w:rsid w:val="3A0168D3"/>
    <w:rsid w:val="3C266749"/>
    <w:rsid w:val="3F1434CE"/>
    <w:rsid w:val="3FD75F19"/>
    <w:rsid w:val="416451E2"/>
    <w:rsid w:val="419D25DB"/>
    <w:rsid w:val="447E6A90"/>
    <w:rsid w:val="4C4F261E"/>
    <w:rsid w:val="4E144BA8"/>
    <w:rsid w:val="4E1E0521"/>
    <w:rsid w:val="4E5DED3C"/>
    <w:rsid w:val="56057FF3"/>
    <w:rsid w:val="587C663C"/>
    <w:rsid w:val="5A771A36"/>
    <w:rsid w:val="5C8F69B7"/>
    <w:rsid w:val="5EBA216A"/>
    <w:rsid w:val="5F5F44FD"/>
    <w:rsid w:val="66AD6A92"/>
    <w:rsid w:val="66C374B6"/>
    <w:rsid w:val="6A1555D3"/>
    <w:rsid w:val="6E453819"/>
    <w:rsid w:val="6FB68F5D"/>
    <w:rsid w:val="7402003C"/>
    <w:rsid w:val="741D39E6"/>
    <w:rsid w:val="773A35C8"/>
    <w:rsid w:val="77FFE9D7"/>
    <w:rsid w:val="7AA04D1A"/>
    <w:rsid w:val="7BF6537B"/>
    <w:rsid w:val="7E97605D"/>
    <w:rsid w:val="7F34677C"/>
    <w:rsid w:val="7F9FAEDC"/>
    <w:rsid w:val="9FD5F7F1"/>
    <w:rsid w:val="9FFF36C9"/>
    <w:rsid w:val="B4FB8A61"/>
    <w:rsid w:val="BFF01D42"/>
    <w:rsid w:val="D1CAAA8A"/>
    <w:rsid w:val="EB9A6BFB"/>
    <w:rsid w:val="ECEA50B3"/>
    <w:rsid w:val="F3F93FD9"/>
    <w:rsid w:val="FDB552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3">
    <w:name w:val="Normal Indent"/>
    <w:basedOn w:val="1"/>
    <w:qFormat/>
    <w:uiPriority w:val="0"/>
    <w:pPr>
      <w:spacing w:line="560" w:lineRule="exact"/>
      <w:ind w:firstLine="420" w:firstLineChars="200"/>
    </w:pPr>
  </w:style>
  <w:style w:type="paragraph" w:styleId="4">
    <w:name w:val="Plain Text"/>
    <w:basedOn w:val="1"/>
    <w:qFormat/>
    <w:uiPriority w:val="0"/>
    <w:pPr>
      <w:widowControl w:val="0"/>
      <w:jc w:val="both"/>
    </w:pPr>
    <w:rPr>
      <w:rFonts w:ascii="宋体" w:hAnsi="Courier New" w:eastAsia="宋体" w:cs="Courier New"/>
      <w:kern w:val="2"/>
      <w:sz w:val="21"/>
      <w:szCs w:val="21"/>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footnote reference"/>
    <w:basedOn w:val="10"/>
    <w:qFormat/>
    <w:uiPriority w:val="0"/>
    <w:rPr>
      <w:vertAlign w:val="superscript"/>
    </w:rPr>
  </w:style>
  <w:style w:type="character" w:customStyle="1" w:styleId="12">
    <w:name w:val="font11"/>
    <w:basedOn w:val="10"/>
    <w:qFormat/>
    <w:uiPriority w:val="0"/>
    <w:rPr>
      <w:rFonts w:hint="eastAsia" w:ascii="仿宋_GB2312" w:eastAsia="仿宋_GB2312" w:cs="仿宋_GB2312"/>
      <w:color w:val="000000"/>
      <w:sz w:val="28"/>
      <w:szCs w:val="28"/>
      <w:u w:val="none"/>
    </w:rPr>
  </w:style>
  <w:style w:type="paragraph" w:customStyle="1" w:styleId="13">
    <w:name w:val="列出段落3"/>
    <w:basedOn w:val="1"/>
    <w:unhideWhenUsed/>
    <w:qFormat/>
    <w:uiPriority w:val="99"/>
    <w:pPr>
      <w:ind w:firstLine="420" w:firstLineChars="200"/>
    </w:pPr>
  </w:style>
  <w:style w:type="paragraph" w:customStyle="1" w:styleId="14">
    <w:name w:val="Heading #1|1"/>
    <w:basedOn w:val="1"/>
    <w:qFormat/>
    <w:uiPriority w:val="0"/>
    <w:pPr>
      <w:spacing w:after="580" w:line="590" w:lineRule="exact"/>
      <w:jc w:val="center"/>
      <w:outlineLvl w:val="0"/>
    </w:pPr>
    <w:rPr>
      <w:rFonts w:ascii="宋体" w:hAnsi="宋体" w:eastAsia="宋体" w:cs="宋体"/>
      <w:sz w:val="44"/>
      <w:szCs w:val="44"/>
      <w:lang w:val="zh-TW" w:eastAsia="zh-TW" w:bidi="zh-TW"/>
    </w:rPr>
  </w:style>
  <w:style w:type="paragraph" w:customStyle="1" w:styleId="15">
    <w:name w:val="Other|1"/>
    <w:basedOn w:val="1"/>
    <w:qFormat/>
    <w:uiPriority w:val="0"/>
    <w:rPr>
      <w:rFonts w:ascii="宋体" w:hAnsi="宋体" w:eastAsia="宋体" w:cs="宋体"/>
      <w:sz w:val="20"/>
      <w:szCs w:val="20"/>
      <w:lang w:val="zh-TW" w:eastAsia="zh-TW" w:bidi="zh-TW"/>
    </w:rPr>
  </w:style>
  <w:style w:type="paragraph" w:customStyle="1" w:styleId="16">
    <w:name w:val="Body text|1"/>
    <w:basedOn w:val="1"/>
    <w:qFormat/>
    <w:uiPriority w:val="0"/>
    <w:pPr>
      <w:spacing w:line="432"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1844</Words>
  <Characters>1886</Characters>
  <Lines>0</Lines>
  <Paragraphs>0</Paragraphs>
  <TotalTime>44</TotalTime>
  <ScaleCrop>false</ScaleCrop>
  <LinksUpToDate>false</LinksUpToDate>
  <CharactersWithSpaces>1891</CharactersWithSpaces>
  <Application>WPS Office_12.1.0.21170_F1E327BC-269C-435d-A152-05C5408002CA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2023-11-05T01:41:00Z</dcterms:created>
  <dc:creator>lulu</dc:creator>
  <cp:lastModifiedBy>Roux P</cp:lastModifiedBy>
  <cp:lastPrinted>2025-06-04T03:24:00Z</cp:lastPrinted>
  <dcterms:modified xsi:type="dcterms:W3CDTF">2025-06-04T08:53:18Z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2052-12.1.0.21170</vt:lpwstr>
  </property>
  <property fmtid="{D5CDD505-2E9C-101B-9397-08002B2CF9AE}" pid="3" name="ICV">
    <vt:lpwstr>AE678C4C5C0241CA9AB2729F525EC8C1_13</vt:lpwstr>
  </property>
  <property fmtid="{D5CDD505-2E9C-101B-9397-08002B2CF9AE}" pid="4" name="KSOTemplateDocerSaveRecord">
    <vt:lpwstr>eyJoZGlkIjoiNjgyZjllM2Q4NjVlZjdmM2YyOGFmMTBhNTJkYzUxNzgiLCJ1c2VySWQiOiIzODc5NzE2MzYifQ==</vt:lpwstr>
  </property>
</Properties>
</file>