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fixed"/>
        <w:tblCellMar>
          <w:top w:w="0" w:type="dxa"/>
          <w:left w:w="108" w:type="dxa"/>
          <w:bottom w:w="0" w:type="dxa"/>
          <w:right w:w="108" w:type="dxa"/>
        </w:tblCellMar>
      </w:tblPr>
      <w:tblGrid>
        <w:gridCol w:w="1325"/>
        <w:gridCol w:w="2469"/>
        <w:gridCol w:w="1931"/>
        <w:gridCol w:w="1678"/>
        <w:gridCol w:w="1997"/>
      </w:tblGrid>
      <w:tr>
        <w:tblPrEx>
          <w:tblCellMar>
            <w:top w:w="0" w:type="dxa"/>
            <w:left w:w="108" w:type="dxa"/>
            <w:bottom w:w="0" w:type="dxa"/>
            <w:right w:w="108" w:type="dxa"/>
          </w:tblCellMar>
        </w:tblPrEx>
        <w:trPr>
          <w:trHeight w:val="764" w:hRule="exact"/>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340"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val="en-US" w:eastAsia="zh-CN"/>
              </w:rPr>
            </w:pPr>
            <w:r>
              <w:rPr>
                <w:rFonts w:hint="eastAsia" w:ascii="仿宋_GB2312" w:hAnsi="仿宋_GB2312" w:eastAsia="仿宋_GB2312" w:cs="仿宋_GB2312"/>
                <w:b/>
                <w:bCs/>
                <w:kern w:val="0"/>
                <w:sz w:val="24"/>
              </w:rPr>
              <w:t>河套人工智能应用场景示范区标识导览</w:t>
            </w:r>
            <w:r>
              <w:rPr>
                <w:rFonts w:hint="eastAsia" w:ascii="仿宋_GB2312" w:hAnsi="仿宋_GB2312" w:eastAsia="仿宋_GB2312" w:cs="仿宋_GB2312"/>
                <w:b/>
                <w:bCs/>
                <w:kern w:val="0"/>
                <w:sz w:val="24"/>
                <w:lang w:val="en-US" w:eastAsia="zh-CN"/>
              </w:rPr>
              <w:t>项目</w:t>
            </w:r>
          </w:p>
        </w:tc>
        <w:tc>
          <w:tcPr>
            <w:tcW w:w="89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06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en-US" w:eastAsia="zh-CN"/>
              </w:rPr>
              <w:t>550000</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340"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default" w:ascii="仿宋_GB2312" w:hAnsi="仿宋_GB2312" w:eastAsia="仿宋_GB2312" w:cs="仿宋_GB2312"/>
                <w:b/>
                <w:bCs/>
                <w:kern w:val="0"/>
                <w:sz w:val="24"/>
                <w:lang w:val="en-US" w:eastAsia="zh-CN"/>
              </w:rPr>
            </w:pPr>
            <w:r>
              <w:rPr>
                <w:rFonts w:hint="eastAsia" w:ascii="仿宋_GB2312" w:hAnsi="仿宋_GB2312" w:eastAsia="仿宋_GB2312" w:cs="仿宋_GB2312"/>
                <w:b/>
                <w:bCs/>
                <w:kern w:val="0"/>
                <w:sz w:val="24"/>
                <w:lang w:val="en-US" w:eastAsia="zh-CN"/>
              </w:rPr>
              <w:t>智慧办</w:t>
            </w:r>
          </w:p>
        </w:tc>
        <w:tc>
          <w:tcPr>
            <w:tcW w:w="89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06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陈小姐</w:t>
            </w:r>
          </w:p>
        </w:tc>
      </w:tr>
      <w:tr>
        <w:tblPrEx>
          <w:tblCellMar>
            <w:top w:w="0" w:type="dxa"/>
            <w:left w:w="108" w:type="dxa"/>
            <w:bottom w:w="0" w:type="dxa"/>
            <w:right w:w="108" w:type="dxa"/>
          </w:tblCellMar>
        </w:tblPrEx>
        <w:trPr>
          <w:trHeight w:val="240"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1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1027"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19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 xml:space="preserve">□直接确定供应商（特殊）   </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295" w:type="pct"/>
            <w:gridSpan w:val="4"/>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根据《福田区打造人工智能先锋城市核心区工作方案（2024-2026年）》在河套打造特色AI园区要求，拟在河套打造全域全时人工智能应用场景示范区。为满足河套人工智能应用场景示范区高效导览需求，提升公共服务效能，拟在e站通展厅及市花路沿线布设引导标识、导览立牌等导览载体。</w:t>
            </w:r>
          </w:p>
        </w:tc>
      </w:tr>
      <w:tr>
        <w:tblPrEx>
          <w:tblCellMar>
            <w:top w:w="0" w:type="dxa"/>
            <w:left w:w="108" w:type="dxa"/>
            <w:bottom w:w="0" w:type="dxa"/>
            <w:right w:w="108" w:type="dxa"/>
          </w:tblCellMar>
        </w:tblPrEx>
        <w:trPr>
          <w:trHeight w:val="712" w:hRule="atLeast"/>
        </w:trPr>
        <w:tc>
          <w:tcPr>
            <w:tcW w:w="70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项目需求</w:t>
            </w:r>
          </w:p>
        </w:tc>
        <w:tc>
          <w:tcPr>
            <w:tcW w:w="4295"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项目技术要求：</w:t>
            </w:r>
          </w:p>
          <w:p>
            <w:pPr>
              <w:widowControl/>
              <w:spacing w:line="240" w:lineRule="auto"/>
              <w:ind w:firstLine="0" w:firstLineChars="0"/>
              <w:jc w:val="left"/>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rPr>
              <w:t>需求内容</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定制化AI人工智能引导标识灯箱或摆件约3个、一批导览标识牌约9个、展厅宣介图、十大场景灯箱软膜、智能广告机和手绘立体地图等（详见附件3需求清单）。</w:t>
            </w:r>
          </w:p>
          <w:p>
            <w:pPr>
              <w:widowControl/>
              <w:spacing w:line="240" w:lineRule="auto"/>
              <w:ind w:firstLine="0" w:firstLineChars="0"/>
              <w:jc w:val="left"/>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要求</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需提供安装和保修服务。</w:t>
            </w:r>
          </w:p>
        </w:tc>
      </w:tr>
      <w:tr>
        <w:tblPrEx>
          <w:tblCellMar>
            <w:top w:w="0" w:type="dxa"/>
            <w:left w:w="108" w:type="dxa"/>
            <w:bottom w:w="0" w:type="dxa"/>
            <w:right w:w="108" w:type="dxa"/>
          </w:tblCellMar>
        </w:tblPrEx>
        <w:trPr>
          <w:trHeight w:val="2920" w:hRule="atLeast"/>
        </w:trPr>
        <w:tc>
          <w:tcPr>
            <w:tcW w:w="70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color w:val="auto"/>
                <w:kern w:val="0"/>
                <w:sz w:val="24"/>
              </w:rPr>
            </w:pPr>
          </w:p>
        </w:tc>
        <w:tc>
          <w:tcPr>
            <w:tcW w:w="4295"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项目商务要求：</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1.服务期限：</w:t>
            </w:r>
            <w:r>
              <w:rPr>
                <w:rFonts w:hint="eastAsia" w:ascii="仿宋_GB2312" w:hAnsi="仿宋_GB2312" w:eastAsia="仿宋_GB2312" w:cs="仿宋_GB2312"/>
                <w:color w:val="auto"/>
                <w:kern w:val="0"/>
                <w:sz w:val="24"/>
                <w:lang w:val="en-US" w:eastAsia="zh-CN"/>
              </w:rPr>
              <w:t>合同签订后60个工作日内。</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2.付款方式：</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分期付款：合同签订后，中标供应商提供符合规定的发票，街道办15日内支付合同总额的</w:t>
            </w:r>
            <w:r>
              <w:rPr>
                <w:rFonts w:hint="eastAsia" w:ascii="仿宋_GB2312" w:hAnsi="仿宋_GB2312" w:eastAsia="仿宋_GB2312" w:cs="仿宋_GB2312"/>
                <w:color w:val="auto"/>
                <w:kern w:val="0"/>
                <w:sz w:val="24"/>
                <w:lang w:val="en-US" w:eastAsia="zh-CN"/>
              </w:rPr>
              <w:t>40</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货物</w:t>
            </w:r>
            <w:r>
              <w:rPr>
                <w:rFonts w:hint="eastAsia" w:ascii="仿宋_GB2312" w:hAnsi="仿宋_GB2312" w:eastAsia="仿宋_GB2312" w:cs="仿宋_GB2312"/>
                <w:color w:val="auto"/>
                <w:kern w:val="0"/>
                <w:sz w:val="24"/>
              </w:rPr>
              <w:t>到货且</w:t>
            </w:r>
            <w:r>
              <w:rPr>
                <w:rFonts w:hint="eastAsia" w:ascii="仿宋_GB2312" w:hAnsi="仿宋_GB2312" w:eastAsia="仿宋_GB2312" w:cs="仿宋_GB2312"/>
                <w:color w:val="auto"/>
                <w:kern w:val="0"/>
                <w:sz w:val="24"/>
                <w:lang w:val="en-US" w:eastAsia="zh-CN"/>
              </w:rPr>
              <w:t>安装完毕，经甲方</w:t>
            </w:r>
            <w:r>
              <w:rPr>
                <w:rFonts w:hint="eastAsia" w:ascii="仿宋_GB2312" w:hAnsi="仿宋_GB2312" w:eastAsia="仿宋_GB2312" w:cs="仿宋_GB2312"/>
                <w:color w:val="auto"/>
                <w:kern w:val="0"/>
                <w:sz w:val="24"/>
              </w:rPr>
              <w:t>验收合格后，中标供应商提供符合规定的发票，街道办15日内支付合同总额的</w:t>
            </w:r>
            <w:r>
              <w:rPr>
                <w:rFonts w:hint="eastAsia" w:ascii="仿宋_GB2312" w:hAnsi="仿宋_GB2312" w:eastAsia="仿宋_GB2312" w:cs="仿宋_GB2312"/>
                <w:color w:val="auto"/>
                <w:kern w:val="0"/>
                <w:sz w:val="24"/>
                <w:lang w:val="en-US" w:eastAsia="zh-CN"/>
              </w:rPr>
              <w:t>60</w:t>
            </w:r>
            <w:r>
              <w:rPr>
                <w:rFonts w:hint="eastAsia" w:ascii="仿宋_GB2312" w:hAnsi="仿宋_GB2312" w:eastAsia="仿宋_GB2312" w:cs="仿宋_GB2312"/>
                <w:color w:val="auto"/>
                <w:kern w:val="0"/>
                <w:sz w:val="24"/>
              </w:rPr>
              <w:t>%。</w:t>
            </w:r>
          </w:p>
          <w:p>
            <w:pPr>
              <w:widowControl/>
              <w:spacing w:line="240" w:lineRule="auto"/>
              <w:ind w:firstLine="0" w:firstLineChars="0"/>
              <w:jc w:val="left"/>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3.报价要求：550000</w:t>
            </w:r>
            <w:r>
              <w:rPr>
                <w:rFonts w:hint="eastAsia" w:ascii="仿宋_GB2312" w:hAnsi="仿宋_GB2312" w:eastAsia="仿宋_GB2312" w:cs="仿宋_GB2312"/>
                <w:color w:val="auto"/>
                <w:kern w:val="0"/>
                <w:sz w:val="24"/>
                <w:lang w:val="en-US" w:eastAsia="zh-CN"/>
              </w:rPr>
              <w:t>元以内。</w:t>
            </w:r>
          </w:p>
          <w:p>
            <w:pPr>
              <w:widowControl/>
              <w:spacing w:line="240" w:lineRule="auto"/>
              <w:ind w:firstLine="0" w:firstLineChars="0"/>
              <w:jc w:val="left"/>
              <w:rPr>
                <w:rFonts w:hint="eastAsia" w:ascii="仿宋_GB2312" w:hAnsi="仿宋_GB2312" w:eastAsia="仿宋_GB2312" w:cs="仿宋_GB2312"/>
                <w:b/>
                <w:bCs/>
                <w:color w:val="auto"/>
                <w:kern w:val="0"/>
                <w:sz w:val="24"/>
                <w:lang w:val="en-US" w:eastAsia="zh-CN"/>
              </w:rPr>
            </w:pP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lang w:val="en-US" w:eastAsia="zh-CN"/>
              </w:rPr>
              <w:t>备注：最终合同签订价格以我单位聘请的第三方审计价格为准。</w:t>
            </w:r>
          </w:p>
        </w:tc>
      </w:tr>
      <w:tr>
        <w:tblPrEx>
          <w:tblCellMar>
            <w:top w:w="0" w:type="dxa"/>
            <w:left w:w="108" w:type="dxa"/>
            <w:bottom w:w="0" w:type="dxa"/>
            <w:right w:w="108" w:type="dxa"/>
          </w:tblCellMar>
        </w:tblPrEx>
        <w:trPr>
          <w:trHeight w:val="1430" w:hRule="atLeast"/>
        </w:trPr>
        <w:tc>
          <w:tcPr>
            <w:tcW w:w="7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295"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7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295" w:type="pct"/>
            <w:gridSpan w:val="4"/>
            <w:tcBorders>
              <w:top w:val="single" w:color="auto" w:sz="4" w:space="0"/>
              <w:left w:val="nil"/>
              <w:bottom w:val="single" w:color="auto" w:sz="4" w:space="0"/>
              <w:right w:val="single" w:color="auto" w:sz="4" w:space="0"/>
            </w:tcBorders>
          </w:tcPr>
          <w:p>
            <w:pPr>
              <w:pStyle w:val="2"/>
              <w:numPr>
                <w:ilvl w:val="0"/>
                <w:numId w:val="1"/>
              </w:numP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营业执照或事业单位法人证、经营范围等证明资料复印件盖章</w:t>
            </w:r>
          </w:p>
          <w:p>
            <w:pPr>
              <w:pStyle w:val="2"/>
              <w:numPr>
                <w:ilvl w:val="0"/>
                <w:numId w:val="1"/>
              </w:numP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项目报价方案(须写出详实内容:包括但不限于价格、服务项目、内容、服务人数和服务人员素质等);</w:t>
            </w:r>
          </w:p>
          <w:p>
            <w:pPr>
              <w:pStyle w:val="2"/>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3、加盖公章的《供应商基本情况表》（详见附件2）</w:t>
            </w:r>
          </w:p>
          <w:p>
            <w:pPr>
              <w:pStyle w:val="2"/>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4、对此项目的提供详细的服务方案；</w:t>
            </w:r>
          </w:p>
          <w:p>
            <w:pPr>
              <w:pStyle w:val="2"/>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5、对此项目的提供详细的质量保障措施；</w:t>
            </w:r>
          </w:p>
          <w:p>
            <w:pPr>
              <w:pStyle w:val="2"/>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6、公司详细介绍；</w:t>
            </w:r>
          </w:p>
          <w:p>
            <w:pPr>
              <w:pStyle w:val="2"/>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7、项目相关案例、业绩等；</w:t>
            </w:r>
            <w:bookmarkStart w:id="0" w:name="_GoBack"/>
            <w:bookmarkEnd w:id="0"/>
          </w:p>
          <w:p>
            <w:pPr>
              <w:pStyle w:val="2"/>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8、近三年内无行贿犯罪记录、无重大违法经营记录的声明和不存在处于被禁止参与政府采购活动期限内情形的声明函（声明函格式自拟）；</w:t>
            </w:r>
          </w:p>
          <w:p>
            <w:pPr>
              <w:pStyle w:val="2"/>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9、可体现投标人综合实力及运营管理能力的其他资料</w:t>
            </w:r>
          </w:p>
          <w:p>
            <w:pPr>
              <w:pStyle w:val="2"/>
              <w:rPr>
                <w:rFonts w:hint="eastAsia" w:ascii="仿宋_GB2312" w:hAnsi="仿宋_GB2312" w:eastAsia="仿宋_GB2312" w:cs="仿宋_GB2312"/>
                <w:kern w:val="0"/>
                <w:sz w:val="24"/>
                <w:szCs w:val="24"/>
                <w:lang w:val="en-US" w:eastAsia="zh-CN" w:bidi="ar-SA"/>
              </w:rPr>
            </w:pPr>
          </w:p>
          <w:p>
            <w:pPr>
              <w:pStyle w:val="2"/>
            </w:pPr>
            <w:r>
              <w:rPr>
                <w:rFonts w:hint="eastAsia" w:ascii="仿宋_GB2312" w:hAnsi="仿宋_GB2312" w:eastAsia="仿宋_GB2312" w:cs="仿宋_GB2312"/>
                <w:kern w:val="0"/>
                <w:sz w:val="24"/>
                <w:szCs w:val="24"/>
                <w:lang w:val="en-US" w:eastAsia="zh-CN" w:bidi="ar-SA"/>
              </w:rPr>
              <w:t>以上文件均需每页加盖单位公章并装订成册，并加上投标文件封面，且应将资料密封存入不透明文件袋中，贴密封条并加盖公章，否则视为无效投标。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F75F1"/>
    <w:multiLevelType w:val="singleLevel"/>
    <w:tmpl w:val="51AF75F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ZTVjZmY1YTU2ZTU2NjBjNTE0MjY1ZGIyOTBhOTQifQ=="/>
  </w:docVars>
  <w:rsids>
    <w:rsidRoot w:val="194B399D"/>
    <w:rsid w:val="023B6A38"/>
    <w:rsid w:val="0250315A"/>
    <w:rsid w:val="043232F0"/>
    <w:rsid w:val="05A03B3D"/>
    <w:rsid w:val="05C1727E"/>
    <w:rsid w:val="091C13C7"/>
    <w:rsid w:val="0A434FC1"/>
    <w:rsid w:val="0A4669B5"/>
    <w:rsid w:val="0A7A49BE"/>
    <w:rsid w:val="0B7125B2"/>
    <w:rsid w:val="0C93502E"/>
    <w:rsid w:val="0D024D99"/>
    <w:rsid w:val="0FE1642F"/>
    <w:rsid w:val="0FEB602A"/>
    <w:rsid w:val="11312983"/>
    <w:rsid w:val="11F96CE6"/>
    <w:rsid w:val="13932E17"/>
    <w:rsid w:val="14C24AD9"/>
    <w:rsid w:val="172C00A3"/>
    <w:rsid w:val="18B761FE"/>
    <w:rsid w:val="19351123"/>
    <w:rsid w:val="194B399D"/>
    <w:rsid w:val="1AF3636A"/>
    <w:rsid w:val="1CD203FA"/>
    <w:rsid w:val="1D1041D7"/>
    <w:rsid w:val="1ED631A5"/>
    <w:rsid w:val="201C34BC"/>
    <w:rsid w:val="23496594"/>
    <w:rsid w:val="23C50DBF"/>
    <w:rsid w:val="24025D7F"/>
    <w:rsid w:val="24BD3555"/>
    <w:rsid w:val="251026CF"/>
    <w:rsid w:val="25BD0EF9"/>
    <w:rsid w:val="2AC6704E"/>
    <w:rsid w:val="2BEB3C1D"/>
    <w:rsid w:val="2D9716DA"/>
    <w:rsid w:val="2E544988"/>
    <w:rsid w:val="2F666F2F"/>
    <w:rsid w:val="2FBB6ACC"/>
    <w:rsid w:val="304A7E50"/>
    <w:rsid w:val="31C82CE8"/>
    <w:rsid w:val="32010B6C"/>
    <w:rsid w:val="334D7C7F"/>
    <w:rsid w:val="340E45C5"/>
    <w:rsid w:val="357E6FD1"/>
    <w:rsid w:val="35C36441"/>
    <w:rsid w:val="35F756F6"/>
    <w:rsid w:val="364B7C56"/>
    <w:rsid w:val="3819091C"/>
    <w:rsid w:val="3CE120F1"/>
    <w:rsid w:val="3D114E3F"/>
    <w:rsid w:val="3D934113"/>
    <w:rsid w:val="3F1434CE"/>
    <w:rsid w:val="40146731"/>
    <w:rsid w:val="4081460D"/>
    <w:rsid w:val="416451E2"/>
    <w:rsid w:val="425B65EB"/>
    <w:rsid w:val="447E6A90"/>
    <w:rsid w:val="45790D38"/>
    <w:rsid w:val="47987980"/>
    <w:rsid w:val="4B752E31"/>
    <w:rsid w:val="4C7B030A"/>
    <w:rsid w:val="4E144BA8"/>
    <w:rsid w:val="50B13272"/>
    <w:rsid w:val="53F94B65"/>
    <w:rsid w:val="543547EF"/>
    <w:rsid w:val="54A742F1"/>
    <w:rsid w:val="58612C0E"/>
    <w:rsid w:val="587C663C"/>
    <w:rsid w:val="5A771A36"/>
    <w:rsid w:val="5B08408B"/>
    <w:rsid w:val="5C2538F6"/>
    <w:rsid w:val="5C8F69B7"/>
    <w:rsid w:val="5D693EEE"/>
    <w:rsid w:val="5EBA216A"/>
    <w:rsid w:val="5F7379D7"/>
    <w:rsid w:val="60510E15"/>
    <w:rsid w:val="63B52D48"/>
    <w:rsid w:val="66AD6A92"/>
    <w:rsid w:val="66C374B6"/>
    <w:rsid w:val="66D91C48"/>
    <w:rsid w:val="670C0754"/>
    <w:rsid w:val="68D07B85"/>
    <w:rsid w:val="6A1555D3"/>
    <w:rsid w:val="6B1675C9"/>
    <w:rsid w:val="6F9775A3"/>
    <w:rsid w:val="73DB3E81"/>
    <w:rsid w:val="74352E35"/>
    <w:rsid w:val="74E078D2"/>
    <w:rsid w:val="76555566"/>
    <w:rsid w:val="7E97605D"/>
    <w:rsid w:val="7EFA7860"/>
    <w:rsid w:val="7F207AA0"/>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11"/>
    <w:basedOn w:val="8"/>
    <w:qFormat/>
    <w:uiPriority w:val="0"/>
    <w:rPr>
      <w:rFonts w:hint="eastAsia" w:ascii="仿宋_GB2312" w:eastAsia="仿宋_GB2312" w:cs="仿宋_GB2312"/>
      <w:color w:val="000000"/>
      <w:sz w:val="28"/>
      <w:szCs w:val="28"/>
      <w:u w:val="none"/>
    </w:rPr>
  </w:style>
  <w:style w:type="paragraph" w:customStyle="1" w:styleId="11">
    <w:name w:val="列出段落3"/>
    <w:basedOn w:val="1"/>
    <w:unhideWhenUsed/>
    <w:qFormat/>
    <w:uiPriority w:val="99"/>
    <w:pPr>
      <w:ind w:firstLine="420" w:firstLineChars="200"/>
    </w:pPr>
  </w:style>
  <w:style w:type="paragraph" w:customStyle="1" w:styleId="12">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qFormat/>
    <w:uiPriority w:val="0"/>
    <w:rPr>
      <w:rFonts w:ascii="宋体" w:hAnsi="宋体" w:eastAsia="宋体" w:cs="宋体"/>
      <w:sz w:val="20"/>
      <w:szCs w:val="20"/>
      <w:lang w:val="zh-TW" w:eastAsia="zh-TW" w:bidi="zh-TW"/>
    </w:rPr>
  </w:style>
  <w:style w:type="paragraph" w:customStyle="1" w:styleId="14">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dcterms:modified xsi:type="dcterms:W3CDTF">2025-06-18T09:17:52Z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21D0D5701E114E7685AD542031D4C6C0_13</vt:lpwstr>
  </property>
</Properties>
</file>