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82D40A">
      <w:pPr>
        <w:rPr>
          <w:rFonts w:ascii="仿宋_GB2312" w:eastAsia="仿宋_GB2312"/>
          <w:sz w:val="24"/>
        </w:rPr>
      </w:pPr>
    </w:p>
    <w:p w14:paraId="670D67A9">
      <w:pPr>
        <w:spacing w:line="360" w:lineRule="auto"/>
        <w:rPr>
          <w:rFonts w:ascii="仿宋_GB2312" w:eastAsia="仿宋_GB2312"/>
          <w:sz w:val="44"/>
          <w:szCs w:val="44"/>
        </w:rPr>
      </w:pPr>
    </w:p>
    <w:p w14:paraId="084EAB0B">
      <w:pPr>
        <w:spacing w:line="360" w:lineRule="auto"/>
        <w:rPr>
          <w:rFonts w:ascii="仿宋_GB2312" w:eastAsia="仿宋_GB2312"/>
          <w:sz w:val="44"/>
          <w:szCs w:val="44"/>
        </w:rPr>
      </w:pPr>
    </w:p>
    <w:p w14:paraId="4D048702">
      <w:pPr>
        <w:spacing w:line="360" w:lineRule="auto"/>
        <w:rPr>
          <w:rFonts w:ascii="仿宋_GB2312" w:eastAsia="仿宋_GB2312"/>
          <w:sz w:val="44"/>
          <w:szCs w:val="44"/>
        </w:rPr>
      </w:pPr>
    </w:p>
    <w:p w14:paraId="41BC328A">
      <w:pPr>
        <w:spacing w:line="360" w:lineRule="auto"/>
        <w:rPr>
          <w:rFonts w:ascii="仿宋_GB2312" w:eastAsia="仿宋_GB2312"/>
          <w:sz w:val="44"/>
          <w:szCs w:val="44"/>
        </w:rPr>
      </w:pPr>
    </w:p>
    <w:p w14:paraId="6BEBB7AA">
      <w:pPr>
        <w:numPr>
          <w:ins w:id="0" w:author="Unknown" w:date=""/>
        </w:numPr>
        <w:jc w:val="center"/>
        <w:rPr>
          <w:rFonts w:ascii="宋体" w:hAnsi="宋体"/>
          <w:sz w:val="44"/>
          <w:szCs w:val="44"/>
        </w:rPr>
      </w:pPr>
      <w:r>
        <w:rPr>
          <w:rFonts w:ascii="宋体" w:hAnsi="宋体"/>
          <w:sz w:val="44"/>
          <w:szCs w:val="44"/>
        </w:rPr>
        <w:t>20</w:t>
      </w:r>
      <w:r>
        <w:rPr>
          <w:rFonts w:hint="eastAsia" w:ascii="宋体" w:hAnsi="宋体"/>
          <w:sz w:val="44"/>
          <w:szCs w:val="44"/>
        </w:rPr>
        <w:t>21</w:t>
      </w:r>
      <w:r>
        <w:rPr>
          <w:rFonts w:ascii="宋体" w:hAnsi="宋体"/>
          <w:sz w:val="44"/>
          <w:szCs w:val="44"/>
        </w:rPr>
        <w:t>年</w:t>
      </w:r>
      <w:r>
        <w:rPr>
          <w:rFonts w:hint="eastAsia" w:ascii="宋体" w:hAnsi="宋体"/>
          <w:sz w:val="44"/>
          <w:szCs w:val="44"/>
        </w:rPr>
        <w:t>度部门</w:t>
      </w:r>
      <w:r>
        <w:rPr>
          <w:rFonts w:ascii="宋体" w:hAnsi="宋体"/>
          <w:sz w:val="44"/>
          <w:szCs w:val="44"/>
        </w:rPr>
        <w:t>整体绩效自评报告</w:t>
      </w:r>
    </w:p>
    <w:p w14:paraId="4CF1E54D">
      <w:pPr>
        <w:spacing w:line="360" w:lineRule="auto"/>
        <w:rPr>
          <w:rFonts w:ascii="仿宋_GB2312" w:eastAsia="仿宋_GB2312"/>
          <w:sz w:val="32"/>
          <w:szCs w:val="32"/>
        </w:rPr>
      </w:pPr>
    </w:p>
    <w:p w14:paraId="76F68E37">
      <w:pPr>
        <w:spacing w:line="360" w:lineRule="auto"/>
        <w:rPr>
          <w:rFonts w:ascii="仿宋_GB2312" w:eastAsia="仿宋_GB2312"/>
          <w:sz w:val="32"/>
          <w:szCs w:val="32"/>
        </w:rPr>
      </w:pPr>
    </w:p>
    <w:p w14:paraId="6BBACC9D">
      <w:pPr>
        <w:spacing w:line="360" w:lineRule="auto"/>
        <w:rPr>
          <w:rFonts w:ascii="仿宋_GB2312" w:eastAsia="仿宋_GB2312"/>
          <w:sz w:val="32"/>
          <w:szCs w:val="32"/>
        </w:rPr>
      </w:pPr>
    </w:p>
    <w:p w14:paraId="78488DF4">
      <w:pPr>
        <w:spacing w:line="360" w:lineRule="auto"/>
        <w:rPr>
          <w:rFonts w:ascii="仿宋_GB2312" w:eastAsia="仿宋_GB2312"/>
          <w:sz w:val="32"/>
          <w:szCs w:val="32"/>
        </w:rPr>
      </w:pPr>
    </w:p>
    <w:p w14:paraId="127AD1A3">
      <w:pPr>
        <w:spacing w:line="360" w:lineRule="auto"/>
        <w:rPr>
          <w:rFonts w:ascii="仿宋_GB2312" w:eastAsia="仿宋_GB2312"/>
          <w:sz w:val="32"/>
          <w:szCs w:val="32"/>
        </w:rPr>
      </w:pPr>
    </w:p>
    <w:p w14:paraId="0CC927C5">
      <w:pPr>
        <w:spacing w:line="360" w:lineRule="auto"/>
        <w:rPr>
          <w:rFonts w:ascii="仿宋_GB2312" w:eastAsia="仿宋_GB2312"/>
          <w:sz w:val="32"/>
          <w:szCs w:val="32"/>
        </w:rPr>
      </w:pPr>
    </w:p>
    <w:p w14:paraId="1C0763F8">
      <w:pPr>
        <w:spacing w:line="360" w:lineRule="auto"/>
        <w:ind w:firstLine="1760" w:firstLineChars="550"/>
        <w:rPr>
          <w:rFonts w:ascii="仿宋_GB2312" w:eastAsia="仿宋_GB2312"/>
          <w:sz w:val="32"/>
          <w:szCs w:val="32"/>
        </w:rPr>
      </w:pPr>
      <w:r>
        <w:rPr>
          <w:rFonts w:hint="eastAsia" w:ascii="仿宋_GB2312" w:eastAsia="仿宋_GB2312"/>
          <w:sz w:val="32"/>
          <w:szCs w:val="32"/>
        </w:rPr>
        <w:t>部门名称（公章）：深圳市福田区科技创新局</w:t>
      </w:r>
    </w:p>
    <w:p w14:paraId="6292EBCC">
      <w:pPr>
        <w:spacing w:line="360" w:lineRule="auto"/>
        <w:ind w:firstLine="1760" w:firstLineChars="550"/>
        <w:rPr>
          <w:rFonts w:ascii="仿宋_GB2312" w:eastAsia="仿宋_GB2312"/>
          <w:sz w:val="32"/>
          <w:szCs w:val="32"/>
        </w:rPr>
      </w:pPr>
      <w:r>
        <w:rPr>
          <w:rFonts w:hint="eastAsia" w:ascii="仿宋_GB2312" w:eastAsia="仿宋_GB2312"/>
          <w:sz w:val="32"/>
          <w:szCs w:val="32"/>
        </w:rPr>
        <w:t>单位负责人（签章）：</w:t>
      </w:r>
    </w:p>
    <w:p w14:paraId="396CCE9F">
      <w:pPr>
        <w:spacing w:line="360" w:lineRule="auto"/>
        <w:ind w:firstLine="1760" w:firstLineChars="550"/>
        <w:rPr>
          <w:rFonts w:ascii="仿宋_GB2312" w:eastAsia="仿宋_GB2312"/>
          <w:sz w:val="32"/>
          <w:szCs w:val="32"/>
        </w:rPr>
      </w:pPr>
      <w:r>
        <w:rPr>
          <w:rFonts w:hint="eastAsia" w:ascii="仿宋_GB2312" w:eastAsia="仿宋_GB2312"/>
          <w:sz w:val="32"/>
          <w:szCs w:val="32"/>
        </w:rPr>
        <w:t>填报人：</w:t>
      </w:r>
    </w:p>
    <w:p w14:paraId="1E3F779D">
      <w:pPr>
        <w:spacing w:line="360" w:lineRule="auto"/>
        <w:ind w:firstLine="1760" w:firstLineChars="550"/>
        <w:rPr>
          <w:rFonts w:ascii="仿宋_GB2312" w:eastAsia="仿宋_GB2312"/>
          <w:sz w:val="32"/>
          <w:szCs w:val="32"/>
        </w:rPr>
      </w:pPr>
      <w:r>
        <w:rPr>
          <w:rFonts w:hint="eastAsia" w:ascii="仿宋_GB2312" w:eastAsia="仿宋_GB2312"/>
          <w:sz w:val="32"/>
          <w:szCs w:val="32"/>
        </w:rPr>
        <w:t>联系电话：</w:t>
      </w:r>
    </w:p>
    <w:p w14:paraId="03DC9150">
      <w:pPr>
        <w:jc w:val="center"/>
        <w:rPr>
          <w:rFonts w:ascii="仿宋_GB2312" w:eastAsia="仿宋_GB2312"/>
          <w:sz w:val="32"/>
          <w:szCs w:val="32"/>
        </w:rPr>
      </w:pPr>
    </w:p>
    <w:p w14:paraId="3FBF6448">
      <w:pPr>
        <w:jc w:val="center"/>
        <w:rPr>
          <w:rFonts w:ascii="宋体" w:hAnsi="宋体"/>
          <w:sz w:val="44"/>
          <w:szCs w:val="44"/>
        </w:rPr>
      </w:pPr>
    </w:p>
    <w:p w14:paraId="2C76FD2B">
      <w:pPr>
        <w:jc w:val="center"/>
        <w:rPr>
          <w:rFonts w:ascii="宋体" w:hAnsi="宋体"/>
          <w:sz w:val="44"/>
          <w:szCs w:val="44"/>
        </w:rPr>
      </w:pPr>
    </w:p>
    <w:p w14:paraId="6BDB1A62">
      <w:pPr>
        <w:rPr>
          <w:rFonts w:ascii="宋体" w:hAnsi="宋体"/>
          <w:sz w:val="44"/>
          <w:szCs w:val="44"/>
        </w:rPr>
      </w:pPr>
    </w:p>
    <w:p w14:paraId="4F90118B">
      <w:pPr>
        <w:rPr>
          <w:rFonts w:ascii="宋体" w:hAnsi="宋体"/>
          <w:sz w:val="44"/>
          <w:szCs w:val="44"/>
        </w:rPr>
      </w:pPr>
    </w:p>
    <w:p w14:paraId="64FDE9B8">
      <w:pPr>
        <w:spacing w:line="360" w:lineRule="auto"/>
        <w:ind w:firstLine="640" w:firstLineChars="200"/>
        <w:rPr>
          <w:rFonts w:ascii="仿宋_GB2312" w:eastAsia="仿宋_GB2312"/>
          <w:color w:val="000000"/>
          <w:kern w:val="0"/>
          <w:sz w:val="32"/>
          <w:szCs w:val="32"/>
        </w:rPr>
      </w:pPr>
    </w:p>
    <w:p w14:paraId="7BFC2B15">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为实现预算和绩效管理一体化，着力提升财政资源配置效率和使用效益，根据《福田区财政局关于开展2021年度预算绩效自评及项目支出</w:t>
      </w:r>
    </w:p>
    <w:p w14:paraId="140DAC68">
      <w:pPr>
        <w:adjustRightInd w:val="0"/>
        <w:snapToGrid w:val="0"/>
        <w:spacing w:line="560" w:lineRule="exact"/>
        <w:rPr>
          <w:rFonts w:ascii="仿宋_GB2312" w:eastAsia="仿宋_GB2312"/>
          <w:color w:val="000000"/>
          <w:kern w:val="0"/>
          <w:sz w:val="32"/>
          <w:szCs w:val="32"/>
        </w:rPr>
      </w:pPr>
      <w:r>
        <w:rPr>
          <w:rFonts w:hint="eastAsia" w:ascii="仿宋_GB2312" w:eastAsia="仿宋_GB2312"/>
          <w:color w:val="000000"/>
          <w:kern w:val="0"/>
          <w:sz w:val="32"/>
          <w:szCs w:val="32"/>
        </w:rPr>
        <w:t>工作的通知》（福财〔2022]53号)的要求，深圳市福田区科技创新局（以下简称“科创局”）对2021年度部门整体支出使用效益进行自我分析与评价，现就绩效自评情况汇报如下:</w:t>
      </w:r>
    </w:p>
    <w:p w14:paraId="6B9BDB49">
      <w:pPr>
        <w:adjustRightInd w:val="0"/>
        <w:snapToGrid w:val="0"/>
        <w:spacing w:line="560" w:lineRule="exact"/>
        <w:ind w:firstLine="643" w:firstLineChars="200"/>
        <w:rPr>
          <w:rFonts w:ascii="黑体" w:hAnsi="黑体" w:eastAsia="黑体"/>
          <w:b/>
          <w:bCs/>
          <w:sz w:val="32"/>
          <w:szCs w:val="32"/>
        </w:rPr>
      </w:pPr>
      <w:r>
        <w:rPr>
          <w:rFonts w:hint="eastAsia" w:ascii="黑体" w:hAnsi="黑体" w:eastAsia="黑体"/>
          <w:b/>
          <w:bCs/>
          <w:sz w:val="32"/>
          <w:szCs w:val="32"/>
        </w:rPr>
        <w:t>一、部门（单位）基本情况</w:t>
      </w:r>
    </w:p>
    <w:p w14:paraId="553860A0">
      <w:pPr>
        <w:adjustRightInd w:val="0"/>
        <w:snapToGrid w:val="0"/>
        <w:spacing w:line="560" w:lineRule="exact"/>
        <w:ind w:firstLine="643" w:firstLineChars="200"/>
        <w:rPr>
          <w:rFonts w:ascii="楷体" w:hAnsi="楷体" w:eastAsia="楷体"/>
          <w:b/>
          <w:color w:val="000000"/>
          <w:sz w:val="32"/>
          <w:szCs w:val="32"/>
        </w:rPr>
      </w:pPr>
      <w:r>
        <w:rPr>
          <w:rFonts w:hint="eastAsia" w:ascii="楷体" w:hAnsi="楷体" w:eastAsia="楷体"/>
          <w:b/>
          <w:color w:val="000000"/>
          <w:sz w:val="32"/>
          <w:szCs w:val="32"/>
        </w:rPr>
        <w:t>（一）部门主要职能。</w:t>
      </w:r>
    </w:p>
    <w:p w14:paraId="6EDFC38C">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深圳市福田区科技创新局（以下简称“科创局”）主要职能包括：1、拟订全区实施创新驱动发展战略、促进科技创新强区建设的规划，以及促进科技发展等方面的规划和政策并组织实施；2、统筹推进全区创新体系建设和科技体制改革，会同有关部门健全科技创新激励机制。促进知识产权的创造、培育和转化，促进区域创新软环境提升。优化科研体系建设，推动企业科技创新能力建设。促进科技和金融结合；3、牵头建立科研项目资金协调、评估、监管机制。会同有关部门提出优化配置科技资源的政策措施建议，推动多元化科技投入体系建设，负责拟订区级财政科技计划并实施。拟订分管资金分配使用方案，对资金支出进度、绩效、安全性和规范性等负责；4、拟订全区基础与应用基础研究计划、政策和措施。统筹国家重点实验室、省实验室、诺贝尔奖实验室、基础研究机构等创新平台建设。组织科研机构创新绩效管理，推进科技资源开放共享；5、组织拟订高新技术发展、科技促进社会发展的规划、政策、措施。组织开展重点领域技术发展需求分析，拟定区重大科技计划（专项）、重点领域研发计划并组织实施。统筹关键共性技术、前沿引领技术、现代工程技术、颠覆性技术研发和创新。对接国家和省、市重大科技项目，牵头组织重大技术攻关和成果应用示范；6、牵头全区技术转移体系建设，拟订科技成果转移转化相关政策措施并监督实施。指导科技服务业、技术市场发展。统筹推进全区科技公共服务体系、科技企业孵化育成体系建设。统筹推进福田区国家自主创新示范区和高新技术产业园区规划建设工作，加强高新技术企业培育，促进科技创新创业；7、会同有关部门拟订区科技人才队伍建设政策和措施，推动高水平科技创新人才队伍建设；8、拟订科技对外交往与创新能力开放合作的政策和措施，组织开展科技合作、科技人才与学术交流。组织国（境）内外及区域间科技交流与合作。组织参与国际大科学计划和大科学工程；9、负责安全生产重大科技攻关及技术研究的组织指导工作，并在安全生产科技进步、安全生产重大科研项目投入、安全生产领域重大研究成果推广等方面提供支持和保障；10、依照《中华人民共和国科学技术普及法》，制定和组织实施全区科普规划，推进全民科学素质教育，普及科学知识，传播科学思想和科学方法，开展青少年科学技术教育活动。开展面向科学技术工作者的继续教育和培训工作。联系指导各街道开展科普工作，主管区属学会（协会、研究会），联系指导全区科普教育基地的管理和建设；11、组织科学技术工作者参与科学技术政策制定和地区事务的政治协商、科学决策、民主监督工作，推进自主创新城区建设。反映科学技术工作者的建议、意见和诉求，维护科学技术工作者的合法权益；12、推广先进技术，促进科学发展。组织科学技术工作者为建立以企业为主体的技术创新体系、全面提升企业的自主创新能力作贡献。开展科学论证、咨询服务，突出政策建议，促进科学技术成果的转化；接受委托承担项目评估、成果鉴定等任务。开展民间国际科学技术交流活动，发展同国外和港澳台地区的科学技术团体和科学技术工作者的友好交往。围绕推动经济社会全面协调可持续发展，积极开展相关调查研究工作。兴办符合科协宗旨的社会公益性事业；13、完成区委、区政府和上级部门交办的其他任务。</w:t>
      </w:r>
    </w:p>
    <w:p w14:paraId="195DC181">
      <w:pPr>
        <w:adjustRightInd w:val="0"/>
        <w:snapToGrid w:val="0"/>
        <w:spacing w:line="560" w:lineRule="exact"/>
        <w:ind w:firstLine="643" w:firstLineChars="200"/>
        <w:rPr>
          <w:rFonts w:ascii="楷体" w:hAnsi="楷体" w:eastAsia="楷体"/>
          <w:b/>
          <w:color w:val="000000"/>
          <w:sz w:val="32"/>
          <w:szCs w:val="32"/>
        </w:rPr>
      </w:pPr>
      <w:r>
        <w:rPr>
          <w:rFonts w:hint="eastAsia" w:ascii="楷体" w:hAnsi="楷体" w:eastAsia="楷体"/>
          <w:b/>
          <w:color w:val="000000"/>
          <w:sz w:val="32"/>
          <w:szCs w:val="32"/>
        </w:rPr>
        <w:t>（二）年度总体工作和重点工作任务。</w:t>
      </w:r>
    </w:p>
    <w:p w14:paraId="3CD53E37">
      <w:pPr>
        <w:adjustRightInd w:val="0"/>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我局坚持以习近平新时代中国特色社会主义思想为指导，抢抓粤港澳大湾区和中国特色社会主义先行示范区“双区驱动”重大历史机遇，按照区委区政府的部署，积极构建都市型、分布式、智能化的“中央创新区”。2021年度具体工作任务见下：</w:t>
      </w:r>
    </w:p>
    <w:p w14:paraId="5BC0A157">
      <w:pPr>
        <w:snapToGrid w:val="0"/>
        <w:spacing w:line="590" w:lineRule="exact"/>
        <w:jc w:val="center"/>
        <w:rPr>
          <w:rFonts w:ascii="仿宋_GB2312" w:eastAsia="仿宋_GB2312"/>
          <w:sz w:val="32"/>
          <w:szCs w:val="32"/>
        </w:rPr>
      </w:pPr>
      <w:r>
        <w:rPr>
          <w:rFonts w:hint="eastAsia" w:ascii="仿宋_GB2312" w:eastAsia="仿宋_GB2312"/>
          <w:color w:val="000000"/>
          <w:kern w:val="0"/>
          <w:sz w:val="32"/>
          <w:szCs w:val="32"/>
        </w:rPr>
        <w:t>科创局2021</w:t>
      </w:r>
      <w:r>
        <w:rPr>
          <w:rFonts w:hint="eastAsia" w:ascii="仿宋_GB2312" w:hAnsi="仿宋_GB2312" w:eastAsia="仿宋_GB2312" w:cs="仿宋_GB2312"/>
          <w:sz w:val="32"/>
          <w:szCs w:val="32"/>
        </w:rPr>
        <w:t>年度总体工作和重点工作任务</w:t>
      </w:r>
      <w:r>
        <w:rPr>
          <w:rFonts w:hint="eastAsia" w:ascii="仿宋_GB2312" w:eastAsia="仿宋_GB2312"/>
          <w:sz w:val="32"/>
          <w:szCs w:val="32"/>
        </w:rPr>
        <w:t>一览表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2967"/>
        <w:gridCol w:w="6135"/>
      </w:tblGrid>
      <w:tr w14:paraId="12DC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036" w:type="dxa"/>
          </w:tcPr>
          <w:p w14:paraId="07FA6CE3">
            <w:pPr>
              <w:snapToGrid w:val="0"/>
              <w:spacing w:line="590" w:lineRule="exact"/>
              <w:jc w:val="center"/>
              <w:rPr>
                <w:rFonts w:ascii="仿宋_GB2312" w:hAnsi="仿宋" w:eastAsia="仿宋_GB2312"/>
                <w:sz w:val="32"/>
                <w:szCs w:val="32"/>
              </w:rPr>
            </w:pPr>
            <w:r>
              <w:rPr>
                <w:rFonts w:hint="eastAsia" w:ascii="仿宋_GB2312" w:hAnsi="仿宋" w:eastAsia="仿宋_GB2312"/>
                <w:sz w:val="32"/>
                <w:szCs w:val="32"/>
              </w:rPr>
              <w:t>序号</w:t>
            </w:r>
          </w:p>
        </w:tc>
        <w:tc>
          <w:tcPr>
            <w:tcW w:w="2967" w:type="dxa"/>
          </w:tcPr>
          <w:p w14:paraId="2D2FF19F">
            <w:pPr>
              <w:snapToGrid w:val="0"/>
              <w:spacing w:line="590" w:lineRule="exact"/>
              <w:jc w:val="center"/>
              <w:rPr>
                <w:rFonts w:ascii="仿宋_GB2312" w:hAnsi="仿宋" w:eastAsia="仿宋_GB2312"/>
                <w:sz w:val="32"/>
                <w:szCs w:val="32"/>
              </w:rPr>
            </w:pPr>
            <w:r>
              <w:rPr>
                <w:rFonts w:hint="eastAsia" w:ascii="仿宋_GB2312" w:hAnsi="仿宋" w:eastAsia="仿宋_GB2312"/>
                <w:sz w:val="32"/>
                <w:szCs w:val="32"/>
              </w:rPr>
              <w:t>工作目标</w:t>
            </w:r>
          </w:p>
        </w:tc>
        <w:tc>
          <w:tcPr>
            <w:tcW w:w="6135" w:type="dxa"/>
          </w:tcPr>
          <w:p w14:paraId="23551A3C">
            <w:pPr>
              <w:snapToGrid w:val="0"/>
              <w:spacing w:line="590" w:lineRule="exact"/>
              <w:jc w:val="center"/>
              <w:rPr>
                <w:rFonts w:ascii="仿宋_GB2312" w:hAnsi="仿宋" w:eastAsia="仿宋_GB2312"/>
                <w:sz w:val="32"/>
                <w:szCs w:val="32"/>
              </w:rPr>
            </w:pPr>
            <w:r>
              <w:rPr>
                <w:rFonts w:hint="eastAsia" w:ascii="仿宋_GB2312" w:hAnsi="仿宋" w:eastAsia="仿宋_GB2312"/>
                <w:sz w:val="32"/>
                <w:szCs w:val="32"/>
              </w:rPr>
              <w:t>工作内容</w:t>
            </w:r>
          </w:p>
        </w:tc>
      </w:tr>
      <w:tr w14:paraId="6C67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Pr>
          <w:p w14:paraId="24169106">
            <w:pPr>
              <w:snapToGrid w:val="0"/>
              <w:spacing w:line="590" w:lineRule="exact"/>
              <w:jc w:val="center"/>
              <w:rPr>
                <w:rFonts w:ascii="仿宋_GB2312" w:hAnsi="仿宋" w:eastAsia="仿宋_GB2312"/>
                <w:sz w:val="32"/>
                <w:szCs w:val="32"/>
              </w:rPr>
            </w:pPr>
            <w:r>
              <w:rPr>
                <w:rFonts w:hint="eastAsia" w:ascii="仿宋_GB2312" w:hAnsi="仿宋" w:eastAsia="仿宋_GB2312"/>
                <w:sz w:val="32"/>
                <w:szCs w:val="32"/>
              </w:rPr>
              <w:t>1</w:t>
            </w:r>
          </w:p>
        </w:tc>
        <w:tc>
          <w:tcPr>
            <w:tcW w:w="2967" w:type="dxa"/>
          </w:tcPr>
          <w:p w14:paraId="10C65904">
            <w:pPr>
              <w:snapToGrid w:val="0"/>
              <w:spacing w:line="590" w:lineRule="exact"/>
              <w:jc w:val="left"/>
              <w:rPr>
                <w:rFonts w:ascii="仿宋_GB2312" w:hAnsi="仿宋" w:eastAsia="仿宋_GB2312"/>
                <w:sz w:val="32"/>
                <w:szCs w:val="32"/>
              </w:rPr>
            </w:pPr>
            <w:r>
              <w:rPr>
                <w:rFonts w:hint="eastAsia" w:ascii="仿宋_GB2312" w:eastAsia="仿宋_GB2312"/>
                <w:color w:val="000000"/>
                <w:kern w:val="0"/>
                <w:sz w:val="32"/>
                <w:szCs w:val="32"/>
              </w:rPr>
              <w:t>抓好“一个核心”，努力推进“深港科技创新合作区”实质开发。</w:t>
            </w:r>
          </w:p>
        </w:tc>
        <w:tc>
          <w:tcPr>
            <w:tcW w:w="6135" w:type="dxa"/>
          </w:tcPr>
          <w:p w14:paraId="2451AD05">
            <w:pPr>
              <w:snapToGrid w:val="0"/>
              <w:spacing w:line="590" w:lineRule="exact"/>
              <w:jc w:val="left"/>
              <w:rPr>
                <w:rFonts w:ascii="仿宋_GB2312" w:hAnsi="仿宋" w:eastAsia="仿宋_GB2312"/>
                <w:sz w:val="32"/>
                <w:szCs w:val="32"/>
              </w:rPr>
            </w:pPr>
            <w:r>
              <w:rPr>
                <w:rFonts w:hint="eastAsia" w:ascii="仿宋_GB2312" w:eastAsia="仿宋_GB2312"/>
                <w:color w:val="000000"/>
                <w:kern w:val="0"/>
                <w:sz w:val="32"/>
                <w:szCs w:val="32"/>
              </w:rPr>
              <w:t>全面启动“创新福田”强基行动计划，以深港科技创新合作区为强核，充分利用深港两地优势资源，加快云集创新平台载体、破壁关键核心技术、引进培育创新型龙头企业、培育新产业新业态、增强创新空间布局、优化创新服务体系、集聚高端科技人才、推动科技体制机制改革，实施全域创新行动计划，全力建设综合性国家科学中心核心区。</w:t>
            </w:r>
          </w:p>
        </w:tc>
      </w:tr>
      <w:tr w14:paraId="3702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Pr>
          <w:p w14:paraId="55C09E8F">
            <w:pPr>
              <w:snapToGrid w:val="0"/>
              <w:spacing w:line="590" w:lineRule="exact"/>
              <w:jc w:val="center"/>
              <w:rPr>
                <w:rFonts w:ascii="仿宋_GB2312" w:hAnsi="仿宋" w:eastAsia="仿宋_GB2312"/>
                <w:sz w:val="32"/>
                <w:szCs w:val="32"/>
              </w:rPr>
            </w:pPr>
            <w:r>
              <w:rPr>
                <w:rFonts w:hint="eastAsia" w:ascii="仿宋_GB2312" w:hAnsi="仿宋" w:eastAsia="仿宋_GB2312"/>
                <w:sz w:val="32"/>
                <w:szCs w:val="32"/>
              </w:rPr>
              <w:t>2</w:t>
            </w:r>
          </w:p>
        </w:tc>
        <w:tc>
          <w:tcPr>
            <w:tcW w:w="2967" w:type="dxa"/>
          </w:tcPr>
          <w:p w14:paraId="598FB355">
            <w:pPr>
              <w:snapToGrid w:val="0"/>
              <w:spacing w:line="59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突出“两项指标”，力保完成全年度科技创新绩效任务</w:t>
            </w:r>
          </w:p>
        </w:tc>
        <w:tc>
          <w:tcPr>
            <w:tcW w:w="6135" w:type="dxa"/>
          </w:tcPr>
          <w:p w14:paraId="78DFA67B">
            <w:pPr>
              <w:snapToGrid w:val="0"/>
              <w:spacing w:line="59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努力提高我区R&amp;D经费投入水平，完成全市大型工业企业研发机构全覆盖目标，充分挖掘大型工业企业在R&amp;D投入方面的有关数据。实施高新技术企业扩容提质行动，建立市场为主导、企业为主体、政府为桥梁的福田区高新技术成果转化推广应用机制，推动高新技术企业高质量发展。</w:t>
            </w:r>
          </w:p>
        </w:tc>
      </w:tr>
      <w:tr w14:paraId="0152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Pr>
          <w:p w14:paraId="7F4E9F9F">
            <w:pPr>
              <w:snapToGrid w:val="0"/>
              <w:spacing w:line="590" w:lineRule="exact"/>
              <w:jc w:val="center"/>
              <w:rPr>
                <w:rFonts w:ascii="仿宋_GB2312" w:hAnsi="仿宋" w:eastAsia="仿宋_GB2312"/>
                <w:sz w:val="32"/>
                <w:szCs w:val="32"/>
              </w:rPr>
            </w:pPr>
            <w:r>
              <w:rPr>
                <w:rFonts w:hint="eastAsia" w:ascii="仿宋_GB2312" w:hAnsi="仿宋" w:eastAsia="仿宋_GB2312"/>
                <w:sz w:val="32"/>
                <w:szCs w:val="32"/>
              </w:rPr>
              <w:t>3</w:t>
            </w:r>
          </w:p>
        </w:tc>
        <w:tc>
          <w:tcPr>
            <w:tcW w:w="2967" w:type="dxa"/>
          </w:tcPr>
          <w:p w14:paraId="064E97CB">
            <w:pPr>
              <w:snapToGrid w:val="0"/>
              <w:spacing w:line="59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做好“三项工作”，助力企业做大做强</w:t>
            </w:r>
          </w:p>
        </w:tc>
        <w:tc>
          <w:tcPr>
            <w:tcW w:w="6135" w:type="dxa"/>
          </w:tcPr>
          <w:p w14:paraId="1021F222">
            <w:pPr>
              <w:snapToGrid w:val="0"/>
              <w:spacing w:line="59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一是进一步加强调研学习，完善科技创新分项支持的有关政策，更好地发挥和放大财政资金的撬动作用；二是做好“福田英才”和人才住房保障工作，吸引更多的创新型企业和人才，为福田创新创业人才发展注入新动力；三是做好服务企业和园区管理工作，努力引导和支持我区园区（孵化器）进一步提质增效，扩大空间规模，提升服务质量，创新孵化服务模式。</w:t>
            </w:r>
          </w:p>
        </w:tc>
      </w:tr>
      <w:tr w14:paraId="42E4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Pr>
          <w:p w14:paraId="5E106C6F">
            <w:pPr>
              <w:snapToGrid w:val="0"/>
              <w:spacing w:line="590" w:lineRule="exact"/>
              <w:jc w:val="center"/>
              <w:rPr>
                <w:rFonts w:ascii="仿宋_GB2312" w:hAnsi="仿宋" w:eastAsia="仿宋_GB2312"/>
                <w:sz w:val="32"/>
                <w:szCs w:val="32"/>
              </w:rPr>
            </w:pPr>
            <w:r>
              <w:rPr>
                <w:rFonts w:hint="eastAsia" w:ascii="仿宋_GB2312" w:hAnsi="仿宋" w:eastAsia="仿宋_GB2312"/>
                <w:sz w:val="32"/>
                <w:szCs w:val="32"/>
              </w:rPr>
              <w:t>4</w:t>
            </w:r>
          </w:p>
        </w:tc>
        <w:tc>
          <w:tcPr>
            <w:tcW w:w="2967" w:type="dxa"/>
          </w:tcPr>
          <w:p w14:paraId="371CD0D1">
            <w:pPr>
              <w:snapToGrid w:val="0"/>
              <w:spacing w:line="59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建设“四大工程”，努力打好福田科技创新攻坚战</w:t>
            </w:r>
          </w:p>
        </w:tc>
        <w:tc>
          <w:tcPr>
            <w:tcW w:w="6135" w:type="dxa"/>
          </w:tcPr>
          <w:p w14:paraId="6783B5D8">
            <w:pPr>
              <w:snapToGrid w:val="0"/>
              <w:spacing w:line="59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继续建设都市型分布式智能化科创区，积极打造华强北超级孵化器，建设一流知识产权生态区，打造国际领先的5G试验场等</w:t>
            </w:r>
          </w:p>
        </w:tc>
      </w:tr>
      <w:tr w14:paraId="7BDE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Pr>
          <w:p w14:paraId="41640067">
            <w:pPr>
              <w:snapToGrid w:val="0"/>
              <w:spacing w:line="590" w:lineRule="exact"/>
              <w:jc w:val="center"/>
              <w:rPr>
                <w:rFonts w:ascii="仿宋_GB2312" w:hAnsi="仿宋" w:eastAsia="仿宋_GB2312"/>
                <w:sz w:val="32"/>
                <w:szCs w:val="32"/>
              </w:rPr>
            </w:pPr>
            <w:r>
              <w:rPr>
                <w:rFonts w:hint="eastAsia" w:ascii="仿宋_GB2312" w:hAnsi="仿宋" w:eastAsia="仿宋_GB2312"/>
                <w:sz w:val="32"/>
                <w:szCs w:val="32"/>
              </w:rPr>
              <w:t>5</w:t>
            </w:r>
          </w:p>
        </w:tc>
        <w:tc>
          <w:tcPr>
            <w:tcW w:w="2967" w:type="dxa"/>
          </w:tcPr>
          <w:p w14:paraId="34704669">
            <w:pPr>
              <w:snapToGrid w:val="0"/>
              <w:spacing w:line="59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组织开展各项大型活动，加强与科技工作者联络</w:t>
            </w:r>
          </w:p>
        </w:tc>
        <w:tc>
          <w:tcPr>
            <w:tcW w:w="6135" w:type="dxa"/>
          </w:tcPr>
          <w:p w14:paraId="5249FF90">
            <w:pPr>
              <w:snapToGrid w:val="0"/>
              <w:spacing w:line="59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组织科协常委委员培训，配合市科协落实科普条例，提升华强北科普氛围，认真组织举办好高交会、双创周、深创赛（福田赛区）、政策宣讲、全国科普日等大型活动，推进全年特色科普活动开展。</w:t>
            </w:r>
          </w:p>
        </w:tc>
      </w:tr>
    </w:tbl>
    <w:p w14:paraId="11AC5230">
      <w:pPr>
        <w:adjustRightInd w:val="0"/>
        <w:snapToGrid w:val="0"/>
        <w:spacing w:line="560" w:lineRule="exact"/>
        <w:ind w:firstLine="643" w:firstLineChars="200"/>
        <w:rPr>
          <w:rFonts w:ascii="楷体" w:hAnsi="楷体" w:eastAsia="楷体"/>
          <w:b/>
          <w:color w:val="000000"/>
          <w:sz w:val="32"/>
          <w:szCs w:val="32"/>
        </w:rPr>
      </w:pPr>
      <w:r>
        <w:rPr>
          <w:rFonts w:hint="eastAsia" w:ascii="楷体" w:hAnsi="楷体" w:eastAsia="楷体"/>
          <w:b/>
          <w:color w:val="000000"/>
          <w:sz w:val="32"/>
          <w:szCs w:val="32"/>
        </w:rPr>
        <w:t>（三）2021年部门预算编制情况。</w:t>
      </w:r>
    </w:p>
    <w:p w14:paraId="1AD9B3B6">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2021年我局预算编制情况良好，符合财政部门关于预算编制的要求和规范， 部门预算编制与部门履职紧密相关，绩效目标的设定覆盖了预算编制、预算执行、资产管理、职责履行、履职效益等方面，绩效目标完整、依据充分、符合实际，绩效指标清晰、细化、可衡量。</w:t>
      </w:r>
    </w:p>
    <w:p w14:paraId="2CD01067">
      <w:pPr>
        <w:numPr>
          <w:ilvl w:val="0"/>
          <w:numId w:val="1"/>
        </w:numPr>
        <w:adjustRightInd w:val="0"/>
        <w:snapToGrid w:val="0"/>
        <w:spacing w:line="560" w:lineRule="exact"/>
        <w:ind w:left="0" w:firstLine="640" w:firstLineChars="200"/>
        <w:rPr>
          <w:rFonts w:ascii="仿宋_GB2312" w:hAnsi="楷体_GB2312" w:eastAsia="仿宋_GB2312" w:cs="楷体_GB2312"/>
          <w:bCs/>
          <w:sz w:val="32"/>
          <w:szCs w:val="32"/>
        </w:rPr>
      </w:pPr>
      <w:r>
        <w:rPr>
          <w:rFonts w:hint="eastAsia" w:ascii="仿宋_GB2312" w:hAnsi="楷体_GB2312" w:eastAsia="仿宋_GB2312" w:cs="楷体_GB2312"/>
          <w:bCs/>
          <w:sz w:val="32"/>
          <w:szCs w:val="32"/>
        </w:rPr>
        <w:t>预算编制情况</w:t>
      </w:r>
    </w:p>
    <w:p w14:paraId="45121D9A">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具体预算安排情况如下表：</w:t>
      </w:r>
    </w:p>
    <w:p w14:paraId="63068325">
      <w:pPr>
        <w:snapToGrid w:val="0"/>
        <w:spacing w:line="590" w:lineRule="exact"/>
        <w:jc w:val="center"/>
        <w:rPr>
          <w:rFonts w:ascii="仿宋_GB2312" w:hAnsi="仿宋_GB2312" w:eastAsia="仿宋_GB2312"/>
          <w:sz w:val="32"/>
          <w:szCs w:val="32"/>
        </w:rPr>
      </w:pP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202</w:t>
      </w:r>
      <w:r>
        <w:rPr>
          <w:rFonts w:hint="eastAsia" w:ascii="仿宋_GB2312" w:hAnsi="仿宋_GB2312" w:eastAsia="仿宋_GB2312" w:cs="仿宋_GB2312"/>
          <w:sz w:val="32"/>
          <w:szCs w:val="32"/>
        </w:rPr>
        <w:t>1年科创局部门预算安排情况</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仿宋_GB2312" w:eastAsia="仿宋_GB2312" w:cs="仿宋_GB2312"/>
          <w:sz w:val="15"/>
          <w:szCs w:val="15"/>
        </w:rPr>
        <w:t>单位：万元</w:t>
      </w:r>
    </w:p>
    <w:tbl>
      <w:tblPr>
        <w:tblStyle w:val="9"/>
        <w:tblW w:w="4999" w:type="pct"/>
        <w:tblInd w:w="0" w:type="dxa"/>
        <w:tblLayout w:type="fixed"/>
        <w:tblCellMar>
          <w:top w:w="0" w:type="dxa"/>
          <w:left w:w="108" w:type="dxa"/>
          <w:bottom w:w="0" w:type="dxa"/>
          <w:right w:w="108" w:type="dxa"/>
        </w:tblCellMar>
      </w:tblPr>
      <w:tblGrid>
        <w:gridCol w:w="1840"/>
        <w:gridCol w:w="811"/>
        <w:gridCol w:w="286"/>
        <w:gridCol w:w="1411"/>
        <w:gridCol w:w="1253"/>
        <w:gridCol w:w="939"/>
        <w:gridCol w:w="780"/>
        <w:gridCol w:w="939"/>
        <w:gridCol w:w="316"/>
        <w:gridCol w:w="1561"/>
      </w:tblGrid>
      <w:tr w14:paraId="3D0B3540">
        <w:tblPrEx>
          <w:tblCellMar>
            <w:top w:w="0" w:type="dxa"/>
            <w:left w:w="108" w:type="dxa"/>
            <w:bottom w:w="0" w:type="dxa"/>
            <w:right w:w="108" w:type="dxa"/>
          </w:tblCellMar>
        </w:tblPrEx>
        <w:trPr>
          <w:trHeight w:val="397" w:hRule="atLeast"/>
        </w:trPr>
        <w:tc>
          <w:tcPr>
            <w:tcW w:w="1308" w:type="pct"/>
            <w:gridSpan w:val="2"/>
            <w:tcBorders>
              <w:top w:val="single" w:color="auto" w:sz="4" w:space="0"/>
              <w:left w:val="single" w:color="auto" w:sz="4" w:space="0"/>
              <w:bottom w:val="single" w:color="auto" w:sz="4" w:space="0"/>
              <w:right w:val="single" w:color="auto" w:sz="4" w:space="0"/>
            </w:tcBorders>
            <w:shd w:val="clear" w:color="000000" w:fill="92CDDC"/>
            <w:noWrap/>
            <w:vAlign w:val="center"/>
          </w:tcPr>
          <w:p w14:paraId="0BE2195B">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单位名称</w:t>
            </w:r>
          </w:p>
        </w:tc>
        <w:tc>
          <w:tcPr>
            <w:tcW w:w="837" w:type="pct"/>
            <w:gridSpan w:val="2"/>
            <w:tcBorders>
              <w:top w:val="single" w:color="auto" w:sz="4" w:space="0"/>
              <w:left w:val="nil"/>
              <w:bottom w:val="single" w:color="auto" w:sz="4" w:space="0"/>
              <w:right w:val="single" w:color="auto" w:sz="4" w:space="0"/>
            </w:tcBorders>
            <w:shd w:val="clear" w:color="000000" w:fill="92CDDC"/>
            <w:noWrap/>
            <w:vAlign w:val="center"/>
          </w:tcPr>
          <w:p w14:paraId="7BF375A5">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基本支出</w:t>
            </w:r>
          </w:p>
        </w:tc>
        <w:tc>
          <w:tcPr>
            <w:tcW w:w="1081" w:type="pct"/>
            <w:gridSpan w:val="2"/>
            <w:tcBorders>
              <w:top w:val="single" w:color="auto" w:sz="4" w:space="0"/>
              <w:left w:val="nil"/>
              <w:bottom w:val="single" w:color="auto" w:sz="4" w:space="0"/>
              <w:right w:val="single" w:color="auto" w:sz="4" w:space="0"/>
            </w:tcBorders>
            <w:shd w:val="clear" w:color="000000" w:fill="92CDDC"/>
            <w:noWrap/>
            <w:vAlign w:val="center"/>
          </w:tcPr>
          <w:p w14:paraId="45F546FB">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项目支出</w:t>
            </w:r>
          </w:p>
        </w:tc>
        <w:tc>
          <w:tcPr>
            <w:tcW w:w="848" w:type="pct"/>
            <w:gridSpan w:val="2"/>
            <w:tcBorders>
              <w:top w:val="single" w:color="auto" w:sz="4" w:space="0"/>
              <w:left w:val="nil"/>
              <w:bottom w:val="single" w:color="auto" w:sz="4" w:space="0"/>
              <w:right w:val="single" w:color="auto" w:sz="4" w:space="0"/>
            </w:tcBorders>
            <w:shd w:val="clear" w:color="000000" w:fill="92CDDC"/>
            <w:noWrap/>
            <w:vAlign w:val="center"/>
          </w:tcPr>
          <w:p w14:paraId="6DB0F7C1">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合计</w:t>
            </w:r>
          </w:p>
        </w:tc>
        <w:tc>
          <w:tcPr>
            <w:tcW w:w="923" w:type="pct"/>
            <w:gridSpan w:val="2"/>
            <w:tcBorders>
              <w:top w:val="single" w:color="auto" w:sz="4" w:space="0"/>
              <w:left w:val="nil"/>
              <w:bottom w:val="single" w:color="auto" w:sz="4" w:space="0"/>
              <w:right w:val="single" w:color="auto" w:sz="4" w:space="0"/>
            </w:tcBorders>
            <w:shd w:val="clear" w:color="000000" w:fill="92CDDC"/>
            <w:noWrap/>
            <w:vAlign w:val="center"/>
          </w:tcPr>
          <w:p w14:paraId="391D8885">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财政资金比例</w:t>
            </w:r>
          </w:p>
        </w:tc>
      </w:tr>
      <w:tr w14:paraId="52A296DB">
        <w:tblPrEx>
          <w:tblCellMar>
            <w:top w:w="0" w:type="dxa"/>
            <w:left w:w="108" w:type="dxa"/>
            <w:bottom w:w="0" w:type="dxa"/>
            <w:right w:w="108" w:type="dxa"/>
          </w:tblCellMar>
        </w:tblPrEx>
        <w:trPr>
          <w:trHeight w:val="397" w:hRule="atLeast"/>
        </w:trPr>
        <w:tc>
          <w:tcPr>
            <w:tcW w:w="1308" w:type="pct"/>
            <w:gridSpan w:val="2"/>
            <w:tcBorders>
              <w:top w:val="nil"/>
              <w:left w:val="single" w:color="auto" w:sz="4" w:space="0"/>
              <w:bottom w:val="single" w:color="auto" w:sz="4" w:space="0"/>
              <w:right w:val="single" w:color="auto" w:sz="4" w:space="0"/>
            </w:tcBorders>
            <w:noWrap/>
            <w:vAlign w:val="center"/>
          </w:tcPr>
          <w:p w14:paraId="7206B768">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福田区科创局</w:t>
            </w:r>
          </w:p>
        </w:tc>
        <w:tc>
          <w:tcPr>
            <w:tcW w:w="837" w:type="pct"/>
            <w:gridSpan w:val="2"/>
            <w:tcBorders>
              <w:top w:val="nil"/>
              <w:left w:val="nil"/>
              <w:bottom w:val="single" w:color="auto" w:sz="4" w:space="0"/>
              <w:right w:val="single" w:color="auto" w:sz="4" w:space="0"/>
            </w:tcBorders>
            <w:noWrap/>
            <w:vAlign w:val="center"/>
          </w:tcPr>
          <w:p w14:paraId="06B704D9">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681.36</w:t>
            </w:r>
          </w:p>
        </w:tc>
        <w:tc>
          <w:tcPr>
            <w:tcW w:w="1081" w:type="pct"/>
            <w:gridSpan w:val="2"/>
            <w:tcBorders>
              <w:top w:val="nil"/>
              <w:left w:val="nil"/>
              <w:bottom w:val="single" w:color="auto" w:sz="4" w:space="0"/>
              <w:right w:val="single" w:color="auto" w:sz="4" w:space="0"/>
            </w:tcBorders>
            <w:noWrap/>
            <w:vAlign w:val="bottom"/>
          </w:tcPr>
          <w:p w14:paraId="3641BA3F">
            <w:pPr>
              <w:widowControl/>
              <w:spacing w:line="590" w:lineRule="exact"/>
              <w:jc w:val="center"/>
              <w:textAlignment w:val="bottom"/>
              <w:rPr>
                <w:rFonts w:ascii="Arial" w:hAnsi="Arial" w:cs="Arial"/>
                <w:kern w:val="0"/>
                <w:sz w:val="20"/>
                <w:szCs w:val="20"/>
                <w:lang w:bidi="ar"/>
              </w:rPr>
            </w:pPr>
            <w:r>
              <w:rPr>
                <w:rFonts w:ascii="Arial" w:hAnsi="Arial" w:cs="Arial"/>
                <w:kern w:val="0"/>
                <w:sz w:val="20"/>
                <w:szCs w:val="20"/>
                <w:lang w:bidi="ar"/>
              </w:rPr>
              <w:t>42,507.85</w:t>
            </w:r>
          </w:p>
        </w:tc>
        <w:tc>
          <w:tcPr>
            <w:tcW w:w="848" w:type="pct"/>
            <w:gridSpan w:val="2"/>
            <w:tcBorders>
              <w:top w:val="nil"/>
              <w:left w:val="nil"/>
              <w:bottom w:val="single" w:color="auto" w:sz="4" w:space="0"/>
              <w:right w:val="single" w:color="auto" w:sz="4" w:space="0"/>
            </w:tcBorders>
            <w:noWrap/>
            <w:vAlign w:val="bottom"/>
          </w:tcPr>
          <w:p w14:paraId="1292CC52">
            <w:pPr>
              <w:widowControl/>
              <w:spacing w:line="590" w:lineRule="exact"/>
              <w:jc w:val="center"/>
              <w:textAlignment w:val="bottom"/>
              <w:rPr>
                <w:rFonts w:ascii="Arial" w:hAnsi="Arial" w:cs="Arial"/>
                <w:sz w:val="20"/>
                <w:szCs w:val="20"/>
              </w:rPr>
            </w:pPr>
            <w:r>
              <w:rPr>
                <w:rFonts w:ascii="Arial" w:hAnsi="Arial" w:cs="Arial"/>
                <w:kern w:val="0"/>
                <w:sz w:val="20"/>
                <w:szCs w:val="20"/>
                <w:lang w:bidi="ar"/>
              </w:rPr>
              <w:t>43,189.21</w:t>
            </w:r>
          </w:p>
        </w:tc>
        <w:tc>
          <w:tcPr>
            <w:tcW w:w="923" w:type="pct"/>
            <w:gridSpan w:val="2"/>
            <w:tcBorders>
              <w:top w:val="nil"/>
              <w:left w:val="nil"/>
              <w:bottom w:val="single" w:color="auto" w:sz="4" w:space="0"/>
              <w:right w:val="single" w:color="auto" w:sz="4" w:space="0"/>
            </w:tcBorders>
            <w:noWrap/>
            <w:vAlign w:val="center"/>
          </w:tcPr>
          <w:p w14:paraId="24B51991">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100%</w:t>
            </w:r>
          </w:p>
        </w:tc>
      </w:tr>
      <w:tr w14:paraId="71D5EFAC">
        <w:tblPrEx>
          <w:tblCellMar>
            <w:top w:w="0" w:type="dxa"/>
            <w:left w:w="108" w:type="dxa"/>
            <w:bottom w:w="0" w:type="dxa"/>
            <w:right w:w="108" w:type="dxa"/>
          </w:tblCellMar>
        </w:tblPrEx>
        <w:trPr>
          <w:trHeight w:val="397" w:hRule="atLeast"/>
        </w:trPr>
        <w:tc>
          <w:tcPr>
            <w:tcW w:w="1308" w:type="pct"/>
            <w:gridSpan w:val="2"/>
            <w:tcBorders>
              <w:top w:val="nil"/>
              <w:left w:val="single" w:color="auto" w:sz="4" w:space="0"/>
              <w:bottom w:val="single" w:color="auto" w:sz="4" w:space="0"/>
              <w:right w:val="single" w:color="auto" w:sz="4" w:space="0"/>
            </w:tcBorders>
            <w:noWrap/>
            <w:vAlign w:val="center"/>
          </w:tcPr>
          <w:p w14:paraId="42823ED4">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合计</w:t>
            </w:r>
          </w:p>
        </w:tc>
        <w:tc>
          <w:tcPr>
            <w:tcW w:w="837" w:type="pct"/>
            <w:gridSpan w:val="2"/>
            <w:tcBorders>
              <w:top w:val="nil"/>
              <w:left w:val="nil"/>
              <w:bottom w:val="single" w:color="auto" w:sz="4" w:space="0"/>
              <w:right w:val="single" w:color="auto" w:sz="4" w:space="0"/>
            </w:tcBorders>
            <w:noWrap/>
            <w:vAlign w:val="center"/>
          </w:tcPr>
          <w:p w14:paraId="19B11ABE">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681.36</w:t>
            </w:r>
          </w:p>
        </w:tc>
        <w:tc>
          <w:tcPr>
            <w:tcW w:w="1081" w:type="pct"/>
            <w:gridSpan w:val="2"/>
            <w:tcBorders>
              <w:top w:val="nil"/>
              <w:left w:val="nil"/>
              <w:bottom w:val="single" w:color="auto" w:sz="4" w:space="0"/>
              <w:right w:val="single" w:color="auto" w:sz="4" w:space="0"/>
            </w:tcBorders>
            <w:noWrap/>
            <w:vAlign w:val="bottom"/>
          </w:tcPr>
          <w:p w14:paraId="3A5BA8B1">
            <w:pPr>
              <w:widowControl/>
              <w:spacing w:line="590" w:lineRule="exact"/>
              <w:jc w:val="center"/>
              <w:textAlignment w:val="bottom"/>
              <w:rPr>
                <w:rFonts w:ascii="Arial" w:hAnsi="Arial" w:cs="Arial"/>
                <w:kern w:val="0"/>
                <w:sz w:val="20"/>
                <w:szCs w:val="20"/>
                <w:lang w:bidi="ar"/>
              </w:rPr>
            </w:pPr>
            <w:r>
              <w:rPr>
                <w:rFonts w:ascii="Arial" w:hAnsi="Arial" w:cs="Arial"/>
                <w:kern w:val="0"/>
                <w:sz w:val="20"/>
                <w:szCs w:val="20"/>
                <w:lang w:bidi="ar"/>
              </w:rPr>
              <w:t>42,507.85</w:t>
            </w:r>
          </w:p>
        </w:tc>
        <w:tc>
          <w:tcPr>
            <w:tcW w:w="848" w:type="pct"/>
            <w:gridSpan w:val="2"/>
            <w:tcBorders>
              <w:top w:val="nil"/>
              <w:left w:val="nil"/>
              <w:bottom w:val="single" w:color="auto" w:sz="4" w:space="0"/>
              <w:right w:val="single" w:color="auto" w:sz="4" w:space="0"/>
            </w:tcBorders>
            <w:noWrap/>
            <w:vAlign w:val="bottom"/>
          </w:tcPr>
          <w:p w14:paraId="69635495">
            <w:pPr>
              <w:widowControl/>
              <w:spacing w:line="590" w:lineRule="exact"/>
              <w:jc w:val="center"/>
              <w:textAlignment w:val="bottom"/>
              <w:rPr>
                <w:rFonts w:ascii="Arial" w:hAnsi="Arial" w:cs="Arial"/>
                <w:sz w:val="20"/>
                <w:szCs w:val="20"/>
              </w:rPr>
            </w:pPr>
            <w:r>
              <w:rPr>
                <w:rFonts w:ascii="Arial" w:hAnsi="Arial" w:cs="Arial"/>
                <w:kern w:val="0"/>
                <w:sz w:val="20"/>
                <w:szCs w:val="20"/>
                <w:lang w:bidi="ar"/>
              </w:rPr>
              <w:t>43,189.21</w:t>
            </w:r>
          </w:p>
        </w:tc>
        <w:tc>
          <w:tcPr>
            <w:tcW w:w="923" w:type="pct"/>
            <w:gridSpan w:val="2"/>
            <w:tcBorders>
              <w:top w:val="nil"/>
              <w:left w:val="nil"/>
              <w:bottom w:val="single" w:color="auto" w:sz="4" w:space="0"/>
              <w:right w:val="single" w:color="auto" w:sz="4" w:space="0"/>
            </w:tcBorders>
            <w:noWrap/>
            <w:vAlign w:val="center"/>
          </w:tcPr>
          <w:p w14:paraId="22B0C082">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w:t>
            </w:r>
          </w:p>
        </w:tc>
      </w:tr>
      <w:tr w14:paraId="0B1677A0">
        <w:tblPrEx>
          <w:tblCellMar>
            <w:top w:w="0" w:type="dxa"/>
            <w:left w:w="108" w:type="dxa"/>
            <w:bottom w:w="0" w:type="dxa"/>
            <w:right w:w="108" w:type="dxa"/>
          </w:tblCellMar>
        </w:tblPrEx>
        <w:trPr>
          <w:trHeight w:val="397" w:hRule="atLeast"/>
        </w:trPr>
        <w:tc>
          <w:tcPr>
            <w:tcW w:w="5000" w:type="pct"/>
            <w:gridSpan w:val="10"/>
            <w:tcBorders>
              <w:top w:val="nil"/>
              <w:left w:val="nil"/>
              <w:bottom w:val="single" w:color="auto" w:sz="4" w:space="0"/>
              <w:right w:val="nil"/>
            </w:tcBorders>
            <w:noWrap/>
            <w:vAlign w:val="center"/>
          </w:tcPr>
          <w:p w14:paraId="37589F62">
            <w:pPr>
              <w:widowControl/>
              <w:spacing w:line="590" w:lineRule="exact"/>
              <w:jc w:val="center"/>
              <w:rPr>
                <w:rFonts w:ascii="仿宋_GB2312" w:hAnsi="宋体" w:eastAsia="仿宋_GB2312" w:cs="仿宋_GB2312"/>
                <w:kern w:val="0"/>
                <w:sz w:val="32"/>
                <w:szCs w:val="32"/>
              </w:rPr>
            </w:pPr>
            <w:r>
              <w:rPr>
                <w:rFonts w:hint="eastAsia" w:ascii="仿宋_GB2312" w:hAnsi="宋体" w:eastAsia="仿宋_GB2312" w:cs="仿宋_GB2312"/>
                <w:kern w:val="0"/>
                <w:sz w:val="32"/>
                <w:szCs w:val="32"/>
              </w:rPr>
              <w:t xml:space="preserve">       </w:t>
            </w:r>
          </w:p>
          <w:p w14:paraId="5DE73CDB">
            <w:pPr>
              <w:widowControl/>
              <w:spacing w:line="590" w:lineRule="exact"/>
              <w:jc w:val="center"/>
              <w:rPr>
                <w:rFonts w:ascii="仿宋_GB2312" w:hAnsi="宋体" w:eastAsia="仿宋_GB2312"/>
                <w:kern w:val="0"/>
                <w:sz w:val="32"/>
                <w:szCs w:val="32"/>
              </w:rPr>
            </w:pPr>
            <w:r>
              <w:rPr>
                <w:rFonts w:ascii="仿宋_GB2312" w:hAnsi="宋体" w:eastAsia="仿宋_GB2312" w:cs="仿宋_GB2312"/>
                <w:kern w:val="0"/>
                <w:sz w:val="32"/>
                <w:szCs w:val="32"/>
              </w:rPr>
              <w:t xml:space="preserve">       202</w:t>
            </w:r>
            <w:r>
              <w:rPr>
                <w:rFonts w:hint="eastAsia" w:ascii="仿宋_GB2312" w:hAnsi="宋体" w:eastAsia="仿宋_GB2312" w:cs="仿宋_GB2312"/>
                <w:kern w:val="0"/>
                <w:sz w:val="32"/>
                <w:szCs w:val="32"/>
              </w:rPr>
              <w:t xml:space="preserve">1年政府采购项目、“三公”经费预算安排情况     </w:t>
            </w:r>
            <w:r>
              <w:rPr>
                <w:rFonts w:ascii="仿宋_GB2312" w:hAnsi="仿宋_GB2312" w:eastAsia="仿宋_GB2312" w:cs="仿宋_GB2312"/>
                <w:sz w:val="32"/>
                <w:szCs w:val="32"/>
              </w:rPr>
              <w:t xml:space="preserve"> </w:t>
            </w:r>
            <w:r>
              <w:rPr>
                <w:rFonts w:hint="eastAsia" w:ascii="仿宋_GB2312" w:hAnsi="仿宋_GB2312" w:eastAsia="仿宋_GB2312" w:cs="仿宋_GB2312"/>
                <w:sz w:val="15"/>
                <w:szCs w:val="15"/>
              </w:rPr>
              <w:t>单位：万元</w:t>
            </w:r>
          </w:p>
        </w:tc>
      </w:tr>
      <w:tr w14:paraId="64A4481D">
        <w:tblPrEx>
          <w:tblCellMar>
            <w:top w:w="0" w:type="dxa"/>
            <w:left w:w="108" w:type="dxa"/>
            <w:bottom w:w="0" w:type="dxa"/>
            <w:right w:w="108" w:type="dxa"/>
          </w:tblCellMar>
        </w:tblPrEx>
        <w:trPr>
          <w:trHeight w:val="397" w:hRule="atLeast"/>
        </w:trPr>
        <w:tc>
          <w:tcPr>
            <w:tcW w:w="908" w:type="pct"/>
            <w:tcBorders>
              <w:top w:val="nil"/>
              <w:left w:val="single" w:color="auto" w:sz="4" w:space="0"/>
              <w:bottom w:val="single" w:color="auto" w:sz="4" w:space="0"/>
              <w:right w:val="single" w:color="auto" w:sz="4" w:space="0"/>
            </w:tcBorders>
            <w:shd w:val="clear" w:color="000000" w:fill="92CDDC"/>
            <w:noWrap/>
            <w:vAlign w:val="center"/>
          </w:tcPr>
          <w:p w14:paraId="77F7F556">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单位名称</w:t>
            </w:r>
          </w:p>
        </w:tc>
        <w:tc>
          <w:tcPr>
            <w:tcW w:w="541" w:type="pct"/>
            <w:gridSpan w:val="2"/>
            <w:tcBorders>
              <w:top w:val="nil"/>
              <w:left w:val="nil"/>
              <w:bottom w:val="single" w:color="auto" w:sz="4" w:space="0"/>
              <w:right w:val="single" w:color="auto" w:sz="4" w:space="0"/>
            </w:tcBorders>
            <w:shd w:val="clear" w:color="000000" w:fill="92CDDC"/>
            <w:noWrap/>
            <w:vAlign w:val="center"/>
          </w:tcPr>
          <w:p w14:paraId="7E8BD7A1">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政府采购</w:t>
            </w:r>
          </w:p>
        </w:tc>
        <w:tc>
          <w:tcPr>
            <w:tcW w:w="696" w:type="pct"/>
            <w:tcBorders>
              <w:top w:val="nil"/>
              <w:left w:val="nil"/>
              <w:bottom w:val="single" w:color="auto" w:sz="4" w:space="0"/>
              <w:right w:val="single" w:color="auto" w:sz="4" w:space="0"/>
            </w:tcBorders>
            <w:shd w:val="clear" w:color="000000" w:fill="92CDDC"/>
            <w:noWrap/>
            <w:vAlign w:val="center"/>
          </w:tcPr>
          <w:p w14:paraId="55DC3133">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公务接待费</w:t>
            </w:r>
          </w:p>
        </w:tc>
        <w:tc>
          <w:tcPr>
            <w:tcW w:w="618" w:type="pct"/>
            <w:tcBorders>
              <w:top w:val="nil"/>
              <w:left w:val="nil"/>
              <w:bottom w:val="single" w:color="auto" w:sz="4" w:space="0"/>
              <w:right w:val="single" w:color="auto" w:sz="4" w:space="0"/>
            </w:tcBorders>
            <w:shd w:val="clear" w:color="000000" w:fill="92CDDC"/>
            <w:vAlign w:val="center"/>
          </w:tcPr>
          <w:p w14:paraId="7B585926">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因公出国（境）费</w:t>
            </w:r>
          </w:p>
        </w:tc>
        <w:tc>
          <w:tcPr>
            <w:tcW w:w="848" w:type="pct"/>
            <w:gridSpan w:val="2"/>
            <w:tcBorders>
              <w:top w:val="nil"/>
              <w:left w:val="nil"/>
              <w:bottom w:val="single" w:color="auto" w:sz="4" w:space="0"/>
              <w:right w:val="single" w:color="auto" w:sz="4" w:space="0"/>
            </w:tcBorders>
            <w:shd w:val="clear" w:color="000000" w:fill="92CDDC"/>
            <w:vAlign w:val="center"/>
          </w:tcPr>
          <w:p w14:paraId="07610F07">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公务用车运行维护费</w:t>
            </w:r>
          </w:p>
        </w:tc>
        <w:tc>
          <w:tcPr>
            <w:tcW w:w="619" w:type="pct"/>
            <w:gridSpan w:val="2"/>
            <w:tcBorders>
              <w:top w:val="nil"/>
              <w:left w:val="nil"/>
              <w:bottom w:val="single" w:color="auto" w:sz="4" w:space="0"/>
              <w:right w:val="single" w:color="auto" w:sz="4" w:space="0"/>
            </w:tcBorders>
            <w:shd w:val="clear" w:color="000000" w:fill="92CDDC"/>
            <w:vAlign w:val="center"/>
          </w:tcPr>
          <w:p w14:paraId="318A3BB6">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“三公”经费小计</w:t>
            </w:r>
          </w:p>
        </w:tc>
        <w:tc>
          <w:tcPr>
            <w:tcW w:w="768" w:type="pct"/>
            <w:tcBorders>
              <w:top w:val="nil"/>
              <w:left w:val="nil"/>
              <w:bottom w:val="single" w:color="auto" w:sz="4" w:space="0"/>
              <w:right w:val="single" w:color="auto" w:sz="4" w:space="0"/>
            </w:tcBorders>
            <w:shd w:val="clear" w:color="000000" w:fill="92CDDC"/>
            <w:noWrap/>
            <w:vAlign w:val="center"/>
          </w:tcPr>
          <w:p w14:paraId="1F21897D">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合计</w:t>
            </w:r>
          </w:p>
        </w:tc>
      </w:tr>
      <w:tr w14:paraId="01489BCF">
        <w:tblPrEx>
          <w:tblCellMar>
            <w:top w:w="0" w:type="dxa"/>
            <w:left w:w="108" w:type="dxa"/>
            <w:bottom w:w="0" w:type="dxa"/>
            <w:right w:w="108" w:type="dxa"/>
          </w:tblCellMar>
        </w:tblPrEx>
        <w:trPr>
          <w:trHeight w:val="397" w:hRule="atLeast"/>
        </w:trPr>
        <w:tc>
          <w:tcPr>
            <w:tcW w:w="908" w:type="pct"/>
            <w:tcBorders>
              <w:top w:val="nil"/>
              <w:left w:val="single" w:color="auto" w:sz="4" w:space="0"/>
              <w:bottom w:val="single" w:color="auto" w:sz="4" w:space="0"/>
              <w:right w:val="single" w:color="auto" w:sz="4" w:space="0"/>
            </w:tcBorders>
            <w:noWrap/>
            <w:vAlign w:val="center"/>
          </w:tcPr>
          <w:p w14:paraId="0D6F7A39">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福田区科创局</w:t>
            </w:r>
          </w:p>
        </w:tc>
        <w:tc>
          <w:tcPr>
            <w:tcW w:w="541" w:type="pct"/>
            <w:gridSpan w:val="2"/>
            <w:tcBorders>
              <w:top w:val="nil"/>
              <w:left w:val="nil"/>
              <w:bottom w:val="single" w:color="auto" w:sz="4" w:space="0"/>
              <w:right w:val="single" w:color="auto" w:sz="4" w:space="0"/>
            </w:tcBorders>
            <w:noWrap/>
            <w:vAlign w:val="bottom"/>
          </w:tcPr>
          <w:p w14:paraId="08B08F96">
            <w:pPr>
              <w:widowControl/>
              <w:spacing w:line="590" w:lineRule="exact"/>
              <w:jc w:val="center"/>
              <w:textAlignment w:val="bottom"/>
              <w:rPr>
                <w:rFonts w:ascii="Arial" w:hAnsi="Arial" w:cs="Arial"/>
                <w:sz w:val="20"/>
                <w:szCs w:val="20"/>
              </w:rPr>
            </w:pPr>
            <w:r>
              <w:rPr>
                <w:rFonts w:hint="eastAsia" w:ascii="Arial" w:hAnsi="Arial" w:cs="Arial"/>
                <w:sz w:val="20"/>
                <w:szCs w:val="20"/>
              </w:rPr>
              <w:t>7.30</w:t>
            </w:r>
          </w:p>
        </w:tc>
        <w:tc>
          <w:tcPr>
            <w:tcW w:w="696" w:type="pct"/>
            <w:tcBorders>
              <w:top w:val="nil"/>
              <w:left w:val="nil"/>
              <w:bottom w:val="single" w:color="auto" w:sz="4" w:space="0"/>
              <w:right w:val="single" w:color="auto" w:sz="4" w:space="0"/>
            </w:tcBorders>
            <w:noWrap/>
            <w:vAlign w:val="center"/>
          </w:tcPr>
          <w:p w14:paraId="78812DC7">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5.00</w:t>
            </w:r>
          </w:p>
        </w:tc>
        <w:tc>
          <w:tcPr>
            <w:tcW w:w="618" w:type="pct"/>
            <w:tcBorders>
              <w:top w:val="nil"/>
              <w:left w:val="nil"/>
              <w:bottom w:val="single" w:color="auto" w:sz="4" w:space="0"/>
              <w:right w:val="single" w:color="auto" w:sz="4" w:space="0"/>
            </w:tcBorders>
            <w:noWrap/>
            <w:vAlign w:val="center"/>
          </w:tcPr>
          <w:p w14:paraId="0EC625A7">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0.00</w:t>
            </w:r>
          </w:p>
        </w:tc>
        <w:tc>
          <w:tcPr>
            <w:tcW w:w="848" w:type="pct"/>
            <w:gridSpan w:val="2"/>
            <w:tcBorders>
              <w:top w:val="nil"/>
              <w:left w:val="nil"/>
              <w:bottom w:val="single" w:color="auto" w:sz="4" w:space="0"/>
              <w:right w:val="single" w:color="auto" w:sz="4" w:space="0"/>
            </w:tcBorders>
            <w:noWrap/>
            <w:vAlign w:val="bottom"/>
          </w:tcPr>
          <w:p w14:paraId="629F42F8">
            <w:pPr>
              <w:widowControl/>
              <w:spacing w:line="590" w:lineRule="exact"/>
              <w:jc w:val="center"/>
              <w:textAlignment w:val="bottom"/>
              <w:rPr>
                <w:rFonts w:ascii="Arial" w:hAnsi="Arial" w:cs="Arial"/>
                <w:kern w:val="0"/>
                <w:sz w:val="20"/>
                <w:szCs w:val="20"/>
                <w:lang w:bidi="ar"/>
              </w:rPr>
            </w:pPr>
            <w:r>
              <w:rPr>
                <w:rFonts w:ascii="Arial" w:hAnsi="Arial" w:cs="Arial"/>
                <w:kern w:val="0"/>
                <w:sz w:val="20"/>
                <w:szCs w:val="20"/>
                <w:lang w:bidi="ar"/>
              </w:rPr>
              <w:t>3.67</w:t>
            </w:r>
          </w:p>
        </w:tc>
        <w:tc>
          <w:tcPr>
            <w:tcW w:w="619" w:type="pct"/>
            <w:gridSpan w:val="2"/>
            <w:tcBorders>
              <w:top w:val="nil"/>
              <w:left w:val="nil"/>
              <w:bottom w:val="single" w:color="auto" w:sz="4" w:space="0"/>
              <w:right w:val="single" w:color="auto" w:sz="4" w:space="0"/>
            </w:tcBorders>
            <w:noWrap/>
            <w:vAlign w:val="bottom"/>
          </w:tcPr>
          <w:p w14:paraId="12D912FE">
            <w:pPr>
              <w:widowControl/>
              <w:spacing w:line="590" w:lineRule="exact"/>
              <w:jc w:val="center"/>
              <w:textAlignment w:val="bottom"/>
              <w:rPr>
                <w:rFonts w:ascii="Arial" w:hAnsi="Arial" w:cs="Arial"/>
                <w:kern w:val="0"/>
                <w:sz w:val="20"/>
                <w:szCs w:val="20"/>
                <w:lang w:bidi="ar"/>
              </w:rPr>
            </w:pPr>
            <w:r>
              <w:rPr>
                <w:rFonts w:ascii="Arial" w:hAnsi="Arial" w:cs="Arial"/>
                <w:kern w:val="0"/>
                <w:sz w:val="20"/>
                <w:szCs w:val="20"/>
                <w:lang w:bidi="ar"/>
              </w:rPr>
              <w:t>8.67</w:t>
            </w:r>
          </w:p>
        </w:tc>
        <w:tc>
          <w:tcPr>
            <w:tcW w:w="768" w:type="pct"/>
            <w:tcBorders>
              <w:top w:val="nil"/>
              <w:left w:val="nil"/>
              <w:bottom w:val="single" w:color="auto" w:sz="4" w:space="0"/>
              <w:right w:val="single" w:color="auto" w:sz="4" w:space="0"/>
            </w:tcBorders>
            <w:noWrap/>
            <w:vAlign w:val="center"/>
          </w:tcPr>
          <w:p w14:paraId="2CBA4728">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24.64</w:t>
            </w:r>
          </w:p>
        </w:tc>
      </w:tr>
      <w:tr w14:paraId="7C0FFE46">
        <w:tblPrEx>
          <w:tblCellMar>
            <w:top w:w="0" w:type="dxa"/>
            <w:left w:w="108" w:type="dxa"/>
            <w:bottom w:w="0" w:type="dxa"/>
            <w:right w:w="108" w:type="dxa"/>
          </w:tblCellMar>
        </w:tblPrEx>
        <w:trPr>
          <w:trHeight w:val="397" w:hRule="atLeast"/>
        </w:trPr>
        <w:tc>
          <w:tcPr>
            <w:tcW w:w="908" w:type="pct"/>
            <w:tcBorders>
              <w:top w:val="nil"/>
              <w:left w:val="single" w:color="auto" w:sz="4" w:space="0"/>
              <w:bottom w:val="single" w:color="auto" w:sz="4" w:space="0"/>
              <w:right w:val="single" w:color="auto" w:sz="4" w:space="0"/>
            </w:tcBorders>
            <w:noWrap/>
            <w:vAlign w:val="center"/>
          </w:tcPr>
          <w:p w14:paraId="598DF23F">
            <w:pPr>
              <w:widowControl/>
              <w:spacing w:line="590" w:lineRule="exact"/>
              <w:jc w:val="center"/>
              <w:rPr>
                <w:rFonts w:ascii="仿宋_GB2312" w:hAnsi="宋体" w:eastAsia="仿宋_GB2312"/>
                <w:kern w:val="0"/>
              </w:rPr>
            </w:pPr>
            <w:r>
              <w:rPr>
                <w:rFonts w:hint="eastAsia" w:ascii="仿宋_GB2312" w:hAnsi="宋体" w:eastAsia="仿宋_GB2312" w:cs="仿宋_GB2312"/>
                <w:kern w:val="0"/>
              </w:rPr>
              <w:t>合计</w:t>
            </w:r>
          </w:p>
        </w:tc>
        <w:tc>
          <w:tcPr>
            <w:tcW w:w="541" w:type="pct"/>
            <w:gridSpan w:val="2"/>
            <w:tcBorders>
              <w:top w:val="nil"/>
              <w:left w:val="nil"/>
              <w:bottom w:val="single" w:color="auto" w:sz="4" w:space="0"/>
              <w:right w:val="single" w:color="auto" w:sz="4" w:space="0"/>
            </w:tcBorders>
            <w:noWrap/>
            <w:vAlign w:val="bottom"/>
          </w:tcPr>
          <w:p w14:paraId="35932E82">
            <w:pPr>
              <w:widowControl/>
              <w:spacing w:line="590" w:lineRule="exact"/>
              <w:jc w:val="center"/>
              <w:textAlignment w:val="bottom"/>
              <w:rPr>
                <w:rFonts w:ascii="Arial" w:hAnsi="Arial" w:cs="Arial"/>
                <w:sz w:val="20"/>
                <w:szCs w:val="20"/>
              </w:rPr>
            </w:pPr>
            <w:r>
              <w:rPr>
                <w:rFonts w:hint="eastAsia" w:ascii="Arial" w:hAnsi="Arial" w:cs="Arial"/>
                <w:sz w:val="20"/>
                <w:szCs w:val="20"/>
              </w:rPr>
              <w:t>7.30</w:t>
            </w:r>
          </w:p>
        </w:tc>
        <w:tc>
          <w:tcPr>
            <w:tcW w:w="696" w:type="pct"/>
            <w:tcBorders>
              <w:top w:val="nil"/>
              <w:left w:val="nil"/>
              <w:bottom w:val="single" w:color="auto" w:sz="4" w:space="0"/>
              <w:right w:val="single" w:color="auto" w:sz="4" w:space="0"/>
            </w:tcBorders>
            <w:noWrap/>
            <w:vAlign w:val="center"/>
          </w:tcPr>
          <w:p w14:paraId="6A6C0B70">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5.00</w:t>
            </w:r>
          </w:p>
        </w:tc>
        <w:tc>
          <w:tcPr>
            <w:tcW w:w="618" w:type="pct"/>
            <w:tcBorders>
              <w:top w:val="nil"/>
              <w:left w:val="nil"/>
              <w:bottom w:val="single" w:color="auto" w:sz="4" w:space="0"/>
              <w:right w:val="single" w:color="auto" w:sz="4" w:space="0"/>
            </w:tcBorders>
            <w:noWrap/>
            <w:vAlign w:val="center"/>
          </w:tcPr>
          <w:p w14:paraId="4DFFBC33">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0.00</w:t>
            </w:r>
          </w:p>
        </w:tc>
        <w:tc>
          <w:tcPr>
            <w:tcW w:w="848" w:type="pct"/>
            <w:gridSpan w:val="2"/>
            <w:tcBorders>
              <w:top w:val="nil"/>
              <w:left w:val="nil"/>
              <w:bottom w:val="single" w:color="auto" w:sz="4" w:space="0"/>
              <w:right w:val="single" w:color="auto" w:sz="4" w:space="0"/>
            </w:tcBorders>
            <w:noWrap/>
            <w:vAlign w:val="bottom"/>
          </w:tcPr>
          <w:p w14:paraId="66E3DBAC">
            <w:pPr>
              <w:widowControl/>
              <w:spacing w:line="590" w:lineRule="exact"/>
              <w:jc w:val="center"/>
              <w:textAlignment w:val="bottom"/>
              <w:rPr>
                <w:rFonts w:ascii="Arial" w:hAnsi="Arial" w:cs="Arial"/>
                <w:kern w:val="0"/>
                <w:sz w:val="20"/>
                <w:szCs w:val="20"/>
                <w:lang w:bidi="ar"/>
              </w:rPr>
            </w:pPr>
            <w:r>
              <w:rPr>
                <w:rFonts w:ascii="Arial" w:hAnsi="Arial" w:cs="Arial"/>
                <w:kern w:val="0"/>
                <w:sz w:val="20"/>
                <w:szCs w:val="20"/>
                <w:lang w:bidi="ar"/>
              </w:rPr>
              <w:t>3.67</w:t>
            </w:r>
          </w:p>
        </w:tc>
        <w:tc>
          <w:tcPr>
            <w:tcW w:w="619" w:type="pct"/>
            <w:gridSpan w:val="2"/>
            <w:tcBorders>
              <w:top w:val="nil"/>
              <w:left w:val="nil"/>
              <w:bottom w:val="single" w:color="auto" w:sz="4" w:space="0"/>
              <w:right w:val="single" w:color="auto" w:sz="4" w:space="0"/>
            </w:tcBorders>
            <w:noWrap/>
            <w:vAlign w:val="bottom"/>
          </w:tcPr>
          <w:p w14:paraId="4E6F4BF2">
            <w:pPr>
              <w:widowControl/>
              <w:spacing w:line="590" w:lineRule="exact"/>
              <w:jc w:val="center"/>
              <w:textAlignment w:val="bottom"/>
              <w:rPr>
                <w:rFonts w:ascii="Arial" w:hAnsi="Arial" w:cs="Arial"/>
                <w:kern w:val="0"/>
                <w:sz w:val="20"/>
                <w:szCs w:val="20"/>
                <w:lang w:bidi="ar"/>
              </w:rPr>
            </w:pPr>
            <w:r>
              <w:rPr>
                <w:rFonts w:ascii="Arial" w:hAnsi="Arial" w:cs="Arial"/>
                <w:kern w:val="0"/>
                <w:sz w:val="20"/>
                <w:szCs w:val="20"/>
                <w:lang w:bidi="ar"/>
              </w:rPr>
              <w:t>8.67</w:t>
            </w:r>
          </w:p>
        </w:tc>
        <w:tc>
          <w:tcPr>
            <w:tcW w:w="768" w:type="pct"/>
            <w:tcBorders>
              <w:top w:val="nil"/>
              <w:left w:val="nil"/>
              <w:bottom w:val="single" w:color="auto" w:sz="4" w:space="0"/>
              <w:right w:val="single" w:color="auto" w:sz="4" w:space="0"/>
            </w:tcBorders>
            <w:noWrap/>
            <w:vAlign w:val="center"/>
          </w:tcPr>
          <w:p w14:paraId="1EC1636D">
            <w:pPr>
              <w:widowControl/>
              <w:spacing w:line="590" w:lineRule="exact"/>
              <w:jc w:val="center"/>
              <w:textAlignment w:val="bottom"/>
              <w:rPr>
                <w:rFonts w:ascii="Arial" w:hAnsi="Arial" w:cs="Arial"/>
                <w:kern w:val="0"/>
                <w:sz w:val="20"/>
                <w:szCs w:val="20"/>
                <w:lang w:bidi="ar"/>
              </w:rPr>
            </w:pPr>
            <w:r>
              <w:rPr>
                <w:rFonts w:hint="eastAsia" w:ascii="Arial" w:hAnsi="Arial" w:cs="Arial"/>
                <w:kern w:val="0"/>
                <w:sz w:val="20"/>
                <w:szCs w:val="20"/>
                <w:lang w:bidi="ar"/>
              </w:rPr>
              <w:t>24.64</w:t>
            </w:r>
          </w:p>
        </w:tc>
      </w:tr>
    </w:tbl>
    <w:p w14:paraId="0C9AADAE">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2021年科创局部门预算收入43,189.21万元，比2020年增加 1,607.45万元，增长3.87%，其中：财政预算拨款43,189.21万元。2020年科创局部门预算支出43,189.21万元，比2019年增加1,607.45万元，增长3.87%。其中：人员支出642.21万元、公用支出39.15万元、离退休人员支出22.33万元、项目支出42,507.85万元。</w:t>
      </w:r>
    </w:p>
    <w:p w14:paraId="2505B591">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预算收支增加主要原因说明:1.区产业发展专项资金-支持科技创新局发展若干政策的扶持资金发放等工作事项，导致相关经费增加；2.2021年需推动福田区科技时尚大街的发展，通过科技活动来提升福田区的科技文化氛围的工作事项,导致相关经费增加；3.为提高辖区国高企业数量及质量，国高企业培育，导致相关经费增加；4.编制人员增加，导致相关经费增加等。</w:t>
      </w:r>
    </w:p>
    <w:p w14:paraId="67134ED8">
      <w:pPr>
        <w:pStyle w:val="4"/>
        <w:adjustRightInd w:val="0"/>
        <w:snapToGrid w:val="0"/>
        <w:spacing w:before="0" w:after="0" w:line="560" w:lineRule="exact"/>
        <w:ind w:firstLine="640" w:firstLineChars="200"/>
        <w:rPr>
          <w:rFonts w:ascii="仿宋_GB2312" w:eastAsia="仿宋_GB2312" w:cs="Times New Roman"/>
          <w:b w:val="0"/>
          <w:bCs w:val="0"/>
          <w:sz w:val="32"/>
          <w:szCs w:val="32"/>
        </w:rPr>
      </w:pPr>
      <w:r>
        <w:rPr>
          <w:rFonts w:ascii="仿宋_GB2312" w:eastAsia="仿宋_GB2312" w:cs="仿宋_GB2312"/>
          <w:b w:val="0"/>
          <w:bCs w:val="0"/>
          <w:sz w:val="32"/>
          <w:szCs w:val="32"/>
        </w:rPr>
        <w:t>2.</w:t>
      </w:r>
      <w:r>
        <w:rPr>
          <w:rFonts w:hint="eastAsia" w:ascii="仿宋_GB2312" w:eastAsia="仿宋_GB2312" w:cs="仿宋_GB2312"/>
          <w:b w:val="0"/>
          <w:bCs w:val="0"/>
          <w:sz w:val="32"/>
          <w:szCs w:val="32"/>
        </w:rPr>
        <w:t>绩效目标设置情况</w:t>
      </w:r>
    </w:p>
    <w:p w14:paraId="6AC4A622">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根据《福田区人民政府办公室关于印发&lt;福田区2020年部门预算和2020—2022年中期财政规划编制方案&gt;的通知》（</w:t>
      </w:r>
      <w:r>
        <w:rPr>
          <w:rFonts w:hint="eastAsia" w:ascii="仿宋_GB2312" w:hAnsi="宋体" w:eastAsia="仿宋_GB2312"/>
          <w:color w:val="000000"/>
          <w:sz w:val="32"/>
          <w:szCs w:val="32"/>
        </w:rPr>
        <w:t>福府办函</w:t>
      </w:r>
      <w:r>
        <w:rPr>
          <w:rFonts w:hint="eastAsia" w:ascii="仿宋_GB2312" w:hAnsi="仿宋_GB2312" w:eastAsia="仿宋_GB2312" w:cs="仿宋_GB2312"/>
          <w:sz w:val="32"/>
          <w:szCs w:val="32"/>
        </w:rPr>
        <w:t>〔2019〕22号）要求，科创局实施全面预算绩效管理，预算绩效管理范围覆盖我局纳入政府预算体系管理的所有财政性资金。2021年对科技交流合作、科技扶持、科创资源管理、科研空间经费、英才荟专项经费等项目设置了个性化绩效目标，分别设置了“产出”、“效益”三个一级绩效指标，一级指标“产出”下设置了“数量、质量、时效、成本效益”四个二级指标，“效益”下从“经济、社会、生态、满意度”四个方面加以细化量化，指标覆盖项目管理等多方面工作，绩效指标设置完整、依据充分、符合实际，且绩效目标清晰、可衡量。</w:t>
      </w:r>
    </w:p>
    <w:p w14:paraId="15265540">
      <w:pPr>
        <w:adjustRightInd w:val="0"/>
        <w:snapToGrid w:val="0"/>
        <w:spacing w:line="560" w:lineRule="exact"/>
        <w:ind w:firstLine="643" w:firstLineChars="200"/>
        <w:rPr>
          <w:rFonts w:ascii="楷体" w:hAnsi="楷体" w:eastAsia="楷体"/>
          <w:b/>
          <w:color w:val="000000"/>
          <w:sz w:val="32"/>
          <w:szCs w:val="32"/>
        </w:rPr>
      </w:pPr>
      <w:r>
        <w:rPr>
          <w:rFonts w:hint="eastAsia" w:ascii="楷体" w:hAnsi="楷体" w:eastAsia="楷体"/>
          <w:b/>
          <w:color w:val="000000"/>
          <w:sz w:val="32"/>
          <w:szCs w:val="32"/>
        </w:rPr>
        <w:t>（四）2021年部门预算执行情况。</w:t>
      </w:r>
    </w:p>
    <w:p w14:paraId="7AA12521">
      <w:pPr>
        <w:adjustRightInd w:val="0"/>
        <w:snapToGrid w:val="0"/>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1.资金管理</w:t>
      </w:r>
    </w:p>
    <w:p w14:paraId="131A5BA0">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（1）预算执行情况</w:t>
      </w:r>
    </w:p>
    <w:p w14:paraId="7539CDAE">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2021年我局预算调整后年度总指标为81,164.95万元，包括基本支出710.04万元和项目支出80,454.91万元。截至2021年年末，我局实际支出79,260.57万元，其中：基本支出631.07万元；项目支出78,629.50万元。2021年部门整体预算执行率达97.65%，预算执行情况较好。详细情况见下表：</w:t>
      </w:r>
    </w:p>
    <w:p w14:paraId="45949421">
      <w:pPr>
        <w:adjustRightInd w:val="0"/>
        <w:snapToGrid w:val="0"/>
        <w:spacing w:line="590" w:lineRule="exact"/>
        <w:jc w:val="center"/>
        <w:rPr>
          <w:rFonts w:ascii="仿宋_GB2312" w:hAnsi="黑体" w:eastAsia="仿宋_GB2312" w:cs="黑体"/>
          <w:kern w:val="0"/>
          <w:sz w:val="32"/>
          <w:szCs w:val="32"/>
        </w:rPr>
      </w:pPr>
      <w:r>
        <w:rPr>
          <w:rFonts w:ascii="仿宋_GB2312" w:hAnsi="黑体" w:eastAsia="仿宋_GB2312" w:cs="黑体"/>
          <w:kern w:val="0"/>
          <w:sz w:val="32"/>
          <w:szCs w:val="32"/>
        </w:rPr>
        <w:t>202</w:t>
      </w:r>
      <w:r>
        <w:rPr>
          <w:rFonts w:hint="eastAsia" w:ascii="仿宋_GB2312" w:hAnsi="黑体" w:eastAsia="仿宋_GB2312" w:cs="黑体"/>
          <w:kern w:val="0"/>
          <w:sz w:val="32"/>
          <w:szCs w:val="32"/>
        </w:rPr>
        <w:t>1年深圳市福田区科创局财政</w:t>
      </w:r>
      <w:r>
        <w:rPr>
          <w:rFonts w:ascii="仿宋_GB2312" w:hAnsi="黑体" w:eastAsia="仿宋_GB2312" w:cs="黑体"/>
          <w:kern w:val="0"/>
          <w:sz w:val="32"/>
          <w:szCs w:val="32"/>
        </w:rPr>
        <w:t>拨款</w:t>
      </w:r>
      <w:r>
        <w:rPr>
          <w:rFonts w:hint="eastAsia" w:ascii="仿宋_GB2312" w:hAnsi="黑体" w:eastAsia="仿宋_GB2312" w:cs="黑体"/>
          <w:kern w:val="0"/>
          <w:sz w:val="32"/>
          <w:szCs w:val="32"/>
        </w:rPr>
        <w:t>收入</w:t>
      </w:r>
      <w:r>
        <w:rPr>
          <w:rFonts w:ascii="仿宋_GB2312" w:hAnsi="黑体" w:eastAsia="仿宋_GB2312" w:cs="黑体"/>
          <w:kern w:val="0"/>
          <w:sz w:val="32"/>
          <w:szCs w:val="32"/>
        </w:rPr>
        <w:t>及支出情况表</w:t>
      </w:r>
    </w:p>
    <w:p w14:paraId="7003A302">
      <w:pPr>
        <w:adjustRightInd w:val="0"/>
        <w:snapToGrid w:val="0"/>
        <w:spacing w:line="590" w:lineRule="exact"/>
        <w:ind w:firstLine="422" w:firstLineChars="200"/>
        <w:jc w:val="right"/>
        <w:rPr>
          <w:rFonts w:ascii="仿宋_GB2312" w:hAnsi="仿宋_GB2312" w:eastAsia="仿宋_GB2312" w:cs="仿宋_GB2312"/>
          <w:b/>
          <w:szCs w:val="21"/>
        </w:rPr>
      </w:pPr>
      <w:r>
        <w:rPr>
          <w:rFonts w:hint="eastAsia" w:ascii="仿宋_GB2312" w:hAnsi="仿宋_GB2312" w:eastAsia="仿宋_GB2312" w:cs="仿宋_GB2312"/>
          <w:b/>
          <w:szCs w:val="21"/>
        </w:rPr>
        <w:t>单位：</w:t>
      </w:r>
      <w:r>
        <w:rPr>
          <w:rFonts w:ascii="仿宋_GB2312" w:hAnsi="仿宋_GB2312" w:eastAsia="仿宋_GB2312" w:cs="仿宋_GB2312"/>
          <w:b/>
          <w:szCs w:val="21"/>
        </w:rPr>
        <w:t>万元</w:t>
      </w:r>
    </w:p>
    <w:tbl>
      <w:tblPr>
        <w:tblStyle w:val="9"/>
        <w:tblW w:w="9902" w:type="dxa"/>
        <w:jc w:val="center"/>
        <w:tblLayout w:type="fixed"/>
        <w:tblCellMar>
          <w:top w:w="0" w:type="dxa"/>
          <w:left w:w="108" w:type="dxa"/>
          <w:bottom w:w="0" w:type="dxa"/>
          <w:right w:w="108" w:type="dxa"/>
        </w:tblCellMar>
      </w:tblPr>
      <w:tblGrid>
        <w:gridCol w:w="2841"/>
        <w:gridCol w:w="1844"/>
        <w:gridCol w:w="2058"/>
        <w:gridCol w:w="1824"/>
        <w:gridCol w:w="1335"/>
      </w:tblGrid>
      <w:tr w14:paraId="4C2E2A3A">
        <w:tblPrEx>
          <w:tblCellMar>
            <w:top w:w="0" w:type="dxa"/>
            <w:left w:w="108" w:type="dxa"/>
            <w:bottom w:w="0" w:type="dxa"/>
            <w:right w:w="108" w:type="dxa"/>
          </w:tblCellMar>
        </w:tblPrEx>
        <w:trPr>
          <w:trHeight w:val="255" w:hRule="atLeast"/>
          <w:tblHeader/>
          <w:jc w:val="center"/>
        </w:trPr>
        <w:tc>
          <w:tcPr>
            <w:tcW w:w="284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56916894">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分项收入</w:t>
            </w:r>
          </w:p>
        </w:tc>
        <w:tc>
          <w:tcPr>
            <w:tcW w:w="184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2365E27D">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年初预算</w:t>
            </w:r>
          </w:p>
        </w:tc>
        <w:tc>
          <w:tcPr>
            <w:tcW w:w="2058"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16AE9E65">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年度预算总指标</w:t>
            </w:r>
          </w:p>
        </w:tc>
        <w:tc>
          <w:tcPr>
            <w:tcW w:w="182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43FF3905">
            <w:pPr>
              <w:widowControl/>
              <w:spacing w:line="59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年度总支出</w:t>
            </w:r>
          </w:p>
        </w:tc>
        <w:tc>
          <w:tcPr>
            <w:tcW w:w="1335" w:type="dxa"/>
            <w:tcBorders>
              <w:top w:val="single" w:color="auto" w:sz="8" w:space="0"/>
              <w:left w:val="nil"/>
              <w:bottom w:val="nil"/>
              <w:right w:val="single" w:color="auto" w:sz="8" w:space="0"/>
            </w:tcBorders>
            <w:shd w:val="clear" w:color="auto" w:fill="auto"/>
            <w:vAlign w:val="center"/>
          </w:tcPr>
          <w:p w14:paraId="313B54BA">
            <w:pPr>
              <w:widowControl/>
              <w:spacing w:line="40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预算</w:t>
            </w:r>
          </w:p>
        </w:tc>
      </w:tr>
      <w:tr w14:paraId="2D092FF6">
        <w:tblPrEx>
          <w:tblCellMar>
            <w:top w:w="0" w:type="dxa"/>
            <w:left w:w="108" w:type="dxa"/>
            <w:bottom w:w="0" w:type="dxa"/>
            <w:right w:w="108" w:type="dxa"/>
          </w:tblCellMar>
        </w:tblPrEx>
        <w:trPr>
          <w:trHeight w:val="270" w:hRule="atLeast"/>
          <w:tblHeader/>
          <w:jc w:val="center"/>
        </w:trPr>
        <w:tc>
          <w:tcPr>
            <w:tcW w:w="2841" w:type="dxa"/>
            <w:vMerge w:val="continue"/>
            <w:tcBorders>
              <w:top w:val="single" w:color="auto" w:sz="8" w:space="0"/>
              <w:left w:val="single" w:color="auto" w:sz="8" w:space="0"/>
              <w:bottom w:val="single" w:color="000000" w:sz="8" w:space="0"/>
              <w:right w:val="single" w:color="auto" w:sz="8" w:space="0"/>
            </w:tcBorders>
            <w:vAlign w:val="center"/>
          </w:tcPr>
          <w:p w14:paraId="2216D7ED">
            <w:pPr>
              <w:widowControl/>
              <w:spacing w:line="590" w:lineRule="exact"/>
              <w:jc w:val="left"/>
              <w:rPr>
                <w:rFonts w:ascii="仿宋_GB2312" w:hAnsi="Arial" w:eastAsia="仿宋_GB2312" w:cs="Arial"/>
                <w:b/>
                <w:bCs/>
                <w:color w:val="000000"/>
                <w:kern w:val="0"/>
                <w:szCs w:val="21"/>
              </w:rPr>
            </w:pPr>
          </w:p>
        </w:tc>
        <w:tc>
          <w:tcPr>
            <w:tcW w:w="1844" w:type="dxa"/>
            <w:vMerge w:val="continue"/>
            <w:tcBorders>
              <w:top w:val="single" w:color="auto" w:sz="8" w:space="0"/>
              <w:left w:val="single" w:color="auto" w:sz="8" w:space="0"/>
              <w:bottom w:val="single" w:color="000000" w:sz="8" w:space="0"/>
              <w:right w:val="single" w:color="auto" w:sz="8" w:space="0"/>
            </w:tcBorders>
            <w:vAlign w:val="center"/>
          </w:tcPr>
          <w:p w14:paraId="6166654E">
            <w:pPr>
              <w:widowControl/>
              <w:spacing w:line="590" w:lineRule="exact"/>
              <w:jc w:val="left"/>
              <w:rPr>
                <w:rFonts w:ascii="仿宋_GB2312" w:hAnsi="Arial" w:eastAsia="仿宋_GB2312" w:cs="Arial"/>
                <w:b/>
                <w:bCs/>
                <w:color w:val="000000"/>
                <w:kern w:val="0"/>
                <w:szCs w:val="21"/>
              </w:rPr>
            </w:pPr>
          </w:p>
        </w:tc>
        <w:tc>
          <w:tcPr>
            <w:tcW w:w="2058" w:type="dxa"/>
            <w:vMerge w:val="continue"/>
            <w:tcBorders>
              <w:top w:val="single" w:color="auto" w:sz="8" w:space="0"/>
              <w:left w:val="single" w:color="auto" w:sz="8" w:space="0"/>
              <w:bottom w:val="single" w:color="000000" w:sz="8" w:space="0"/>
              <w:right w:val="single" w:color="auto" w:sz="8" w:space="0"/>
            </w:tcBorders>
            <w:vAlign w:val="center"/>
          </w:tcPr>
          <w:p w14:paraId="304942BE">
            <w:pPr>
              <w:widowControl/>
              <w:spacing w:line="590" w:lineRule="exact"/>
              <w:jc w:val="left"/>
              <w:rPr>
                <w:rFonts w:ascii="仿宋_GB2312" w:hAnsi="Arial" w:eastAsia="仿宋_GB2312" w:cs="Arial"/>
                <w:b/>
                <w:bCs/>
                <w:color w:val="000000"/>
                <w:kern w:val="0"/>
                <w:szCs w:val="21"/>
              </w:rPr>
            </w:pPr>
          </w:p>
        </w:tc>
        <w:tc>
          <w:tcPr>
            <w:tcW w:w="1824" w:type="dxa"/>
            <w:vMerge w:val="continue"/>
            <w:tcBorders>
              <w:top w:val="single" w:color="auto" w:sz="8" w:space="0"/>
              <w:left w:val="single" w:color="auto" w:sz="8" w:space="0"/>
              <w:bottom w:val="single" w:color="000000" w:sz="8" w:space="0"/>
              <w:right w:val="single" w:color="auto" w:sz="8" w:space="0"/>
            </w:tcBorders>
            <w:vAlign w:val="center"/>
          </w:tcPr>
          <w:p w14:paraId="059251F6">
            <w:pPr>
              <w:widowControl/>
              <w:spacing w:line="590" w:lineRule="exact"/>
              <w:jc w:val="left"/>
              <w:rPr>
                <w:rFonts w:ascii="仿宋_GB2312" w:hAnsi="Arial" w:eastAsia="仿宋_GB2312" w:cs="Arial"/>
                <w:b/>
                <w:bCs/>
                <w:color w:val="000000"/>
                <w:kern w:val="0"/>
                <w:szCs w:val="21"/>
              </w:rPr>
            </w:pPr>
          </w:p>
        </w:tc>
        <w:tc>
          <w:tcPr>
            <w:tcW w:w="1335" w:type="dxa"/>
            <w:tcBorders>
              <w:top w:val="nil"/>
              <w:left w:val="nil"/>
              <w:bottom w:val="single" w:color="auto" w:sz="8" w:space="0"/>
              <w:right w:val="single" w:color="auto" w:sz="8" w:space="0"/>
            </w:tcBorders>
            <w:shd w:val="clear" w:color="auto" w:fill="auto"/>
            <w:vAlign w:val="center"/>
          </w:tcPr>
          <w:p w14:paraId="595F0329">
            <w:pPr>
              <w:widowControl/>
              <w:spacing w:line="400" w:lineRule="exact"/>
              <w:jc w:val="center"/>
              <w:rPr>
                <w:rFonts w:ascii="仿宋_GB2312" w:hAnsi="Arial" w:eastAsia="仿宋_GB2312" w:cs="Arial"/>
                <w:b/>
                <w:bCs/>
                <w:color w:val="000000"/>
                <w:kern w:val="0"/>
                <w:szCs w:val="21"/>
              </w:rPr>
            </w:pPr>
            <w:r>
              <w:rPr>
                <w:rFonts w:hint="eastAsia" w:ascii="仿宋_GB2312" w:hAnsi="Arial" w:eastAsia="仿宋_GB2312" w:cs="Arial"/>
                <w:b/>
                <w:bCs/>
                <w:color w:val="000000"/>
                <w:kern w:val="0"/>
                <w:szCs w:val="21"/>
              </w:rPr>
              <w:t>执行率</w:t>
            </w:r>
          </w:p>
        </w:tc>
      </w:tr>
      <w:tr w14:paraId="54699DAA">
        <w:tblPrEx>
          <w:tblCellMar>
            <w:top w:w="0" w:type="dxa"/>
            <w:left w:w="108" w:type="dxa"/>
            <w:bottom w:w="0" w:type="dxa"/>
            <w:right w:w="108" w:type="dxa"/>
          </w:tblCellMar>
        </w:tblPrEx>
        <w:trPr>
          <w:trHeight w:val="279" w:hRule="atLeast"/>
          <w:jc w:val="center"/>
        </w:trPr>
        <w:tc>
          <w:tcPr>
            <w:tcW w:w="2841" w:type="dxa"/>
            <w:tcBorders>
              <w:top w:val="nil"/>
              <w:left w:val="single" w:color="auto" w:sz="8" w:space="0"/>
              <w:bottom w:val="single" w:color="auto" w:sz="8" w:space="0"/>
              <w:right w:val="single" w:color="auto" w:sz="8" w:space="0"/>
            </w:tcBorders>
            <w:shd w:val="clear" w:color="auto" w:fill="auto"/>
            <w:vAlign w:val="center"/>
          </w:tcPr>
          <w:p w14:paraId="5481B1B4">
            <w:pPr>
              <w:widowControl/>
              <w:spacing w:line="590" w:lineRule="exact"/>
              <w:jc w:val="left"/>
              <w:rPr>
                <w:rFonts w:ascii="仿宋_GB2312" w:hAnsi="Arial" w:eastAsia="仿宋_GB2312" w:cs="Arial"/>
                <w:color w:val="000000"/>
                <w:kern w:val="0"/>
                <w:szCs w:val="21"/>
              </w:rPr>
            </w:pPr>
            <w:r>
              <w:rPr>
                <w:rFonts w:hint="eastAsia" w:ascii="仿宋_GB2312" w:hAnsi="Arial" w:eastAsia="仿宋_GB2312" w:cs="Arial"/>
                <w:color w:val="000000"/>
                <w:kern w:val="0"/>
                <w:szCs w:val="21"/>
              </w:rPr>
              <w:t>基本支出</w:t>
            </w:r>
          </w:p>
        </w:tc>
        <w:tc>
          <w:tcPr>
            <w:tcW w:w="1844" w:type="dxa"/>
            <w:tcBorders>
              <w:top w:val="nil"/>
              <w:left w:val="nil"/>
              <w:bottom w:val="single" w:color="auto" w:sz="8" w:space="0"/>
              <w:right w:val="single" w:color="auto" w:sz="8" w:space="0"/>
            </w:tcBorders>
            <w:shd w:val="clear" w:color="auto" w:fill="auto"/>
            <w:vAlign w:val="bottom"/>
          </w:tcPr>
          <w:p w14:paraId="0E8B2F38">
            <w:pPr>
              <w:widowControl/>
              <w:spacing w:line="59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681.36</w:t>
            </w:r>
          </w:p>
        </w:tc>
        <w:tc>
          <w:tcPr>
            <w:tcW w:w="2058" w:type="dxa"/>
            <w:tcBorders>
              <w:top w:val="nil"/>
              <w:left w:val="nil"/>
              <w:bottom w:val="single" w:color="auto" w:sz="8" w:space="0"/>
              <w:right w:val="single" w:color="auto" w:sz="8" w:space="0"/>
            </w:tcBorders>
            <w:shd w:val="clear" w:color="auto" w:fill="auto"/>
            <w:vAlign w:val="bottom"/>
          </w:tcPr>
          <w:p w14:paraId="0C9F2F3E">
            <w:pPr>
              <w:widowControl/>
              <w:spacing w:line="59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710.04</w:t>
            </w:r>
          </w:p>
        </w:tc>
        <w:tc>
          <w:tcPr>
            <w:tcW w:w="1824" w:type="dxa"/>
            <w:tcBorders>
              <w:top w:val="nil"/>
              <w:left w:val="nil"/>
              <w:bottom w:val="single" w:color="auto" w:sz="8" w:space="0"/>
              <w:right w:val="single" w:color="auto" w:sz="8" w:space="0"/>
            </w:tcBorders>
            <w:shd w:val="clear" w:color="auto" w:fill="auto"/>
            <w:vAlign w:val="bottom"/>
          </w:tcPr>
          <w:p w14:paraId="51E42454">
            <w:pPr>
              <w:widowControl/>
              <w:spacing w:line="59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631.07</w:t>
            </w:r>
          </w:p>
        </w:tc>
        <w:tc>
          <w:tcPr>
            <w:tcW w:w="1335" w:type="dxa"/>
            <w:tcBorders>
              <w:top w:val="nil"/>
              <w:left w:val="nil"/>
              <w:bottom w:val="single" w:color="auto" w:sz="8" w:space="0"/>
              <w:right w:val="single" w:color="auto" w:sz="8" w:space="0"/>
            </w:tcBorders>
            <w:shd w:val="clear" w:color="auto" w:fill="auto"/>
            <w:vAlign w:val="bottom"/>
          </w:tcPr>
          <w:p w14:paraId="38529D4E">
            <w:pPr>
              <w:widowControl/>
              <w:spacing w:line="59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88.88%</w:t>
            </w:r>
          </w:p>
        </w:tc>
      </w:tr>
      <w:tr w14:paraId="56BD5D77">
        <w:tblPrEx>
          <w:tblCellMar>
            <w:top w:w="0" w:type="dxa"/>
            <w:left w:w="108" w:type="dxa"/>
            <w:bottom w:w="0" w:type="dxa"/>
            <w:right w:w="108" w:type="dxa"/>
          </w:tblCellMar>
        </w:tblPrEx>
        <w:trPr>
          <w:trHeight w:val="417" w:hRule="atLeast"/>
          <w:jc w:val="center"/>
        </w:trPr>
        <w:tc>
          <w:tcPr>
            <w:tcW w:w="2841" w:type="dxa"/>
            <w:tcBorders>
              <w:top w:val="nil"/>
              <w:left w:val="single" w:color="auto" w:sz="8" w:space="0"/>
              <w:bottom w:val="single" w:color="auto" w:sz="8" w:space="0"/>
              <w:right w:val="single" w:color="auto" w:sz="8" w:space="0"/>
            </w:tcBorders>
            <w:shd w:val="clear" w:color="auto" w:fill="auto"/>
            <w:vAlign w:val="center"/>
          </w:tcPr>
          <w:p w14:paraId="72D264E9">
            <w:pPr>
              <w:widowControl/>
              <w:spacing w:line="400" w:lineRule="exact"/>
              <w:jc w:val="left"/>
              <w:rPr>
                <w:rFonts w:ascii="仿宋_GB2312" w:hAnsi="Arial" w:eastAsia="仿宋_GB2312" w:cs="Arial"/>
                <w:color w:val="000000"/>
                <w:kern w:val="0"/>
                <w:szCs w:val="21"/>
              </w:rPr>
            </w:pPr>
            <w:r>
              <w:rPr>
                <w:rFonts w:hint="eastAsia" w:ascii="仿宋_GB2312" w:hAnsi="Arial" w:eastAsia="仿宋_GB2312" w:cs="Arial"/>
                <w:color w:val="000000"/>
                <w:kern w:val="0"/>
                <w:szCs w:val="21"/>
              </w:rPr>
              <w:t xml:space="preserve">  其中：人员经费    </w:t>
            </w:r>
          </w:p>
        </w:tc>
        <w:tc>
          <w:tcPr>
            <w:tcW w:w="1844" w:type="dxa"/>
            <w:tcBorders>
              <w:top w:val="nil"/>
              <w:left w:val="nil"/>
              <w:bottom w:val="single" w:color="auto" w:sz="8" w:space="0"/>
              <w:right w:val="single" w:color="auto" w:sz="8" w:space="0"/>
            </w:tcBorders>
            <w:shd w:val="clear" w:color="auto" w:fill="auto"/>
            <w:vAlign w:val="bottom"/>
          </w:tcPr>
          <w:p w14:paraId="0C763CE7">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642.21</w:t>
            </w:r>
          </w:p>
        </w:tc>
        <w:tc>
          <w:tcPr>
            <w:tcW w:w="2058" w:type="dxa"/>
            <w:tcBorders>
              <w:top w:val="nil"/>
              <w:left w:val="nil"/>
              <w:bottom w:val="single" w:color="auto" w:sz="8" w:space="0"/>
              <w:right w:val="single" w:color="auto" w:sz="8" w:space="0"/>
            </w:tcBorders>
            <w:shd w:val="clear" w:color="auto" w:fill="auto"/>
            <w:vAlign w:val="bottom"/>
          </w:tcPr>
          <w:p w14:paraId="2F0B1FF1">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670.89</w:t>
            </w:r>
          </w:p>
        </w:tc>
        <w:tc>
          <w:tcPr>
            <w:tcW w:w="1824" w:type="dxa"/>
            <w:tcBorders>
              <w:top w:val="nil"/>
              <w:left w:val="nil"/>
              <w:bottom w:val="single" w:color="auto" w:sz="8" w:space="0"/>
              <w:right w:val="single" w:color="auto" w:sz="8" w:space="0"/>
            </w:tcBorders>
            <w:shd w:val="clear" w:color="auto" w:fill="auto"/>
            <w:vAlign w:val="bottom"/>
          </w:tcPr>
          <w:p w14:paraId="58D538F7">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606.07</w:t>
            </w:r>
          </w:p>
        </w:tc>
        <w:tc>
          <w:tcPr>
            <w:tcW w:w="1335" w:type="dxa"/>
            <w:tcBorders>
              <w:top w:val="nil"/>
              <w:left w:val="nil"/>
              <w:bottom w:val="single" w:color="auto" w:sz="8" w:space="0"/>
              <w:right w:val="single" w:color="auto" w:sz="8" w:space="0"/>
            </w:tcBorders>
            <w:shd w:val="clear" w:color="auto" w:fill="auto"/>
            <w:vAlign w:val="bottom"/>
          </w:tcPr>
          <w:p w14:paraId="06F74276">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90.34%</w:t>
            </w:r>
          </w:p>
        </w:tc>
      </w:tr>
      <w:tr w14:paraId="4F47CF3B">
        <w:tblPrEx>
          <w:tblCellMar>
            <w:top w:w="0" w:type="dxa"/>
            <w:left w:w="108" w:type="dxa"/>
            <w:bottom w:w="0" w:type="dxa"/>
            <w:right w:w="108" w:type="dxa"/>
          </w:tblCellMar>
        </w:tblPrEx>
        <w:trPr>
          <w:trHeight w:val="285" w:hRule="atLeast"/>
          <w:jc w:val="center"/>
        </w:trPr>
        <w:tc>
          <w:tcPr>
            <w:tcW w:w="2841" w:type="dxa"/>
            <w:tcBorders>
              <w:top w:val="nil"/>
              <w:left w:val="single" w:color="auto" w:sz="8" w:space="0"/>
              <w:bottom w:val="single" w:color="auto" w:sz="8" w:space="0"/>
              <w:right w:val="single" w:color="auto" w:sz="8" w:space="0"/>
            </w:tcBorders>
            <w:shd w:val="clear" w:color="auto" w:fill="auto"/>
            <w:vAlign w:val="center"/>
          </w:tcPr>
          <w:p w14:paraId="39B78BB4">
            <w:pPr>
              <w:widowControl/>
              <w:spacing w:line="400" w:lineRule="exact"/>
              <w:jc w:val="left"/>
              <w:rPr>
                <w:rFonts w:ascii="仿宋_GB2312" w:hAnsi="Arial" w:eastAsia="仿宋_GB2312" w:cs="Arial"/>
                <w:color w:val="000000"/>
                <w:kern w:val="0"/>
                <w:szCs w:val="21"/>
              </w:rPr>
            </w:pPr>
            <w:r>
              <w:rPr>
                <w:rFonts w:hint="eastAsia" w:ascii="仿宋_GB2312" w:hAnsi="Arial" w:eastAsia="仿宋_GB2312" w:cs="Arial"/>
                <w:color w:val="000000"/>
                <w:kern w:val="0"/>
                <w:szCs w:val="21"/>
              </w:rPr>
              <w:t xml:space="preserve">       </w:t>
            </w:r>
            <w:r>
              <w:rPr>
                <w:rFonts w:ascii="仿宋_GB2312" w:hAnsi="Arial" w:eastAsia="仿宋_GB2312" w:cs="Arial"/>
                <w:color w:val="000000"/>
                <w:kern w:val="0"/>
                <w:szCs w:val="21"/>
              </w:rPr>
              <w:t xml:space="preserve"> </w:t>
            </w:r>
            <w:r>
              <w:rPr>
                <w:rFonts w:hint="eastAsia" w:ascii="仿宋_GB2312" w:hAnsi="Arial" w:eastAsia="仿宋_GB2312" w:cs="Arial"/>
                <w:color w:val="000000"/>
                <w:kern w:val="0"/>
                <w:szCs w:val="21"/>
              </w:rPr>
              <w:t>日常公用经费</w:t>
            </w:r>
          </w:p>
        </w:tc>
        <w:tc>
          <w:tcPr>
            <w:tcW w:w="1844" w:type="dxa"/>
            <w:tcBorders>
              <w:top w:val="nil"/>
              <w:left w:val="nil"/>
              <w:bottom w:val="single" w:color="auto" w:sz="8" w:space="0"/>
              <w:right w:val="single" w:color="auto" w:sz="8" w:space="0"/>
            </w:tcBorders>
            <w:shd w:val="clear" w:color="auto" w:fill="auto"/>
            <w:vAlign w:val="bottom"/>
          </w:tcPr>
          <w:p w14:paraId="51773A54">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39.15</w:t>
            </w:r>
          </w:p>
        </w:tc>
        <w:tc>
          <w:tcPr>
            <w:tcW w:w="2058" w:type="dxa"/>
            <w:tcBorders>
              <w:top w:val="nil"/>
              <w:left w:val="nil"/>
              <w:bottom w:val="single" w:color="auto" w:sz="8" w:space="0"/>
              <w:right w:val="single" w:color="auto" w:sz="8" w:space="0"/>
            </w:tcBorders>
            <w:shd w:val="clear" w:color="auto" w:fill="auto"/>
            <w:vAlign w:val="bottom"/>
          </w:tcPr>
          <w:p w14:paraId="66057C5C">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39.15</w:t>
            </w:r>
          </w:p>
        </w:tc>
        <w:tc>
          <w:tcPr>
            <w:tcW w:w="1824" w:type="dxa"/>
            <w:tcBorders>
              <w:top w:val="nil"/>
              <w:left w:val="nil"/>
              <w:bottom w:val="single" w:color="auto" w:sz="8" w:space="0"/>
              <w:right w:val="single" w:color="auto" w:sz="8" w:space="0"/>
            </w:tcBorders>
            <w:shd w:val="clear" w:color="auto" w:fill="auto"/>
            <w:vAlign w:val="bottom"/>
          </w:tcPr>
          <w:p w14:paraId="7B80B913">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25.00</w:t>
            </w:r>
          </w:p>
        </w:tc>
        <w:tc>
          <w:tcPr>
            <w:tcW w:w="1335" w:type="dxa"/>
            <w:tcBorders>
              <w:top w:val="nil"/>
              <w:left w:val="nil"/>
              <w:bottom w:val="single" w:color="auto" w:sz="8" w:space="0"/>
              <w:right w:val="single" w:color="auto" w:sz="8" w:space="0"/>
            </w:tcBorders>
            <w:shd w:val="clear" w:color="auto" w:fill="auto"/>
            <w:vAlign w:val="bottom"/>
          </w:tcPr>
          <w:p w14:paraId="1448FE13">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63.86%</w:t>
            </w:r>
          </w:p>
        </w:tc>
      </w:tr>
      <w:tr w14:paraId="2BC2DD3C">
        <w:tblPrEx>
          <w:tblCellMar>
            <w:top w:w="0" w:type="dxa"/>
            <w:left w:w="108" w:type="dxa"/>
            <w:bottom w:w="0" w:type="dxa"/>
            <w:right w:w="108" w:type="dxa"/>
          </w:tblCellMar>
        </w:tblPrEx>
        <w:trPr>
          <w:trHeight w:val="285" w:hRule="atLeast"/>
          <w:jc w:val="center"/>
        </w:trPr>
        <w:tc>
          <w:tcPr>
            <w:tcW w:w="2841" w:type="dxa"/>
            <w:tcBorders>
              <w:top w:val="nil"/>
              <w:left w:val="single" w:color="auto" w:sz="8" w:space="0"/>
              <w:bottom w:val="single" w:color="auto" w:sz="8" w:space="0"/>
              <w:right w:val="single" w:color="auto" w:sz="8" w:space="0"/>
            </w:tcBorders>
            <w:shd w:val="clear" w:color="auto" w:fill="auto"/>
            <w:vAlign w:val="center"/>
          </w:tcPr>
          <w:p w14:paraId="10E5EA58">
            <w:pPr>
              <w:widowControl/>
              <w:spacing w:line="400" w:lineRule="exact"/>
              <w:jc w:val="left"/>
              <w:rPr>
                <w:rFonts w:ascii="仿宋_GB2312" w:hAnsi="Arial" w:eastAsia="仿宋_GB2312" w:cs="Arial"/>
                <w:color w:val="000000"/>
                <w:kern w:val="0"/>
                <w:szCs w:val="21"/>
              </w:rPr>
            </w:pPr>
            <w:r>
              <w:rPr>
                <w:rFonts w:hint="eastAsia" w:ascii="仿宋_GB2312" w:hAnsi="Arial" w:eastAsia="仿宋_GB2312" w:cs="Arial"/>
                <w:color w:val="000000"/>
                <w:kern w:val="0"/>
                <w:szCs w:val="21"/>
              </w:rPr>
              <w:t>项目支出</w:t>
            </w:r>
          </w:p>
        </w:tc>
        <w:tc>
          <w:tcPr>
            <w:tcW w:w="1844" w:type="dxa"/>
            <w:tcBorders>
              <w:top w:val="nil"/>
              <w:left w:val="nil"/>
              <w:bottom w:val="single" w:color="auto" w:sz="8" w:space="0"/>
              <w:right w:val="single" w:color="auto" w:sz="8" w:space="0"/>
            </w:tcBorders>
            <w:shd w:val="clear" w:color="auto" w:fill="auto"/>
            <w:vAlign w:val="bottom"/>
          </w:tcPr>
          <w:p w14:paraId="5F5BF8A0">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42,507.85</w:t>
            </w:r>
          </w:p>
        </w:tc>
        <w:tc>
          <w:tcPr>
            <w:tcW w:w="2058" w:type="dxa"/>
            <w:tcBorders>
              <w:top w:val="nil"/>
              <w:left w:val="nil"/>
              <w:bottom w:val="single" w:color="auto" w:sz="8" w:space="0"/>
              <w:right w:val="single" w:color="auto" w:sz="8" w:space="0"/>
            </w:tcBorders>
            <w:shd w:val="clear" w:color="auto" w:fill="auto"/>
            <w:vAlign w:val="bottom"/>
          </w:tcPr>
          <w:p w14:paraId="665DF6FA">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80,454.91</w:t>
            </w:r>
          </w:p>
        </w:tc>
        <w:tc>
          <w:tcPr>
            <w:tcW w:w="1824" w:type="dxa"/>
            <w:tcBorders>
              <w:top w:val="nil"/>
              <w:left w:val="nil"/>
              <w:bottom w:val="single" w:color="auto" w:sz="8" w:space="0"/>
              <w:right w:val="single" w:color="auto" w:sz="8" w:space="0"/>
            </w:tcBorders>
            <w:shd w:val="clear" w:color="auto" w:fill="auto"/>
            <w:vAlign w:val="bottom"/>
          </w:tcPr>
          <w:p w14:paraId="3DD8C164">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78,629.50</w:t>
            </w:r>
          </w:p>
        </w:tc>
        <w:tc>
          <w:tcPr>
            <w:tcW w:w="1335" w:type="dxa"/>
            <w:tcBorders>
              <w:top w:val="nil"/>
              <w:left w:val="nil"/>
              <w:bottom w:val="single" w:color="auto" w:sz="8" w:space="0"/>
              <w:right w:val="single" w:color="auto" w:sz="8" w:space="0"/>
            </w:tcBorders>
            <w:shd w:val="clear" w:color="auto" w:fill="auto"/>
            <w:vAlign w:val="bottom"/>
          </w:tcPr>
          <w:p w14:paraId="3F7FFABC">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97.73%</w:t>
            </w:r>
          </w:p>
        </w:tc>
      </w:tr>
      <w:tr w14:paraId="2474EE5F">
        <w:tblPrEx>
          <w:tblCellMar>
            <w:top w:w="0" w:type="dxa"/>
            <w:left w:w="108" w:type="dxa"/>
            <w:bottom w:w="0" w:type="dxa"/>
            <w:right w:w="108" w:type="dxa"/>
          </w:tblCellMar>
        </w:tblPrEx>
        <w:trPr>
          <w:trHeight w:val="285" w:hRule="atLeast"/>
          <w:jc w:val="center"/>
        </w:trPr>
        <w:tc>
          <w:tcPr>
            <w:tcW w:w="2841" w:type="dxa"/>
            <w:tcBorders>
              <w:top w:val="nil"/>
              <w:left w:val="single" w:color="auto" w:sz="8" w:space="0"/>
              <w:bottom w:val="single" w:color="auto" w:sz="8" w:space="0"/>
              <w:right w:val="single" w:color="auto" w:sz="8" w:space="0"/>
            </w:tcBorders>
            <w:shd w:val="clear" w:color="auto" w:fill="auto"/>
            <w:vAlign w:val="center"/>
          </w:tcPr>
          <w:p w14:paraId="6DADFF97">
            <w:pPr>
              <w:widowControl/>
              <w:spacing w:line="400" w:lineRule="exact"/>
              <w:jc w:val="center"/>
              <w:rPr>
                <w:rFonts w:ascii="仿宋_GB2312" w:hAnsi="Arial" w:eastAsia="仿宋_GB2312" w:cs="Arial"/>
                <w:color w:val="000000"/>
                <w:kern w:val="0"/>
                <w:szCs w:val="21"/>
              </w:rPr>
            </w:pPr>
            <w:r>
              <w:rPr>
                <w:rFonts w:hint="eastAsia" w:ascii="仿宋_GB2312" w:hAnsi="Arial" w:eastAsia="仿宋_GB2312" w:cs="Arial"/>
                <w:color w:val="000000"/>
                <w:kern w:val="0"/>
                <w:szCs w:val="21"/>
              </w:rPr>
              <w:t>总    计</w:t>
            </w:r>
          </w:p>
        </w:tc>
        <w:tc>
          <w:tcPr>
            <w:tcW w:w="1844" w:type="dxa"/>
            <w:tcBorders>
              <w:top w:val="nil"/>
              <w:left w:val="nil"/>
              <w:bottom w:val="single" w:color="auto" w:sz="8" w:space="0"/>
              <w:right w:val="single" w:color="auto" w:sz="8" w:space="0"/>
            </w:tcBorders>
            <w:shd w:val="clear" w:color="auto" w:fill="auto"/>
            <w:vAlign w:val="bottom"/>
          </w:tcPr>
          <w:p w14:paraId="473337EB">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43,189.21</w:t>
            </w:r>
          </w:p>
        </w:tc>
        <w:tc>
          <w:tcPr>
            <w:tcW w:w="2058" w:type="dxa"/>
            <w:tcBorders>
              <w:top w:val="nil"/>
              <w:left w:val="nil"/>
              <w:bottom w:val="single" w:color="auto" w:sz="8" w:space="0"/>
              <w:right w:val="single" w:color="auto" w:sz="8" w:space="0"/>
            </w:tcBorders>
            <w:shd w:val="clear" w:color="auto" w:fill="auto"/>
            <w:vAlign w:val="bottom"/>
          </w:tcPr>
          <w:p w14:paraId="12F51A26">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81,164.95</w:t>
            </w:r>
          </w:p>
        </w:tc>
        <w:tc>
          <w:tcPr>
            <w:tcW w:w="1824" w:type="dxa"/>
            <w:tcBorders>
              <w:top w:val="nil"/>
              <w:left w:val="nil"/>
              <w:bottom w:val="single" w:color="auto" w:sz="8" w:space="0"/>
              <w:right w:val="single" w:color="auto" w:sz="8" w:space="0"/>
            </w:tcBorders>
            <w:shd w:val="clear" w:color="auto" w:fill="auto"/>
            <w:vAlign w:val="bottom"/>
          </w:tcPr>
          <w:p w14:paraId="5FF8ED3C">
            <w:pPr>
              <w:widowControl/>
              <w:spacing w:line="400" w:lineRule="exact"/>
              <w:jc w:val="center"/>
              <w:textAlignment w:val="bottom"/>
              <w:rPr>
                <w:rFonts w:ascii="Arial" w:hAnsi="Arial" w:cs="Arial"/>
                <w:color w:val="000000"/>
                <w:sz w:val="20"/>
                <w:szCs w:val="20"/>
              </w:rPr>
            </w:pPr>
            <w:r>
              <w:rPr>
                <w:rFonts w:ascii="Arial" w:hAnsi="Arial" w:cs="Arial"/>
                <w:color w:val="000000"/>
                <w:kern w:val="0"/>
                <w:sz w:val="20"/>
                <w:szCs w:val="20"/>
                <w:lang w:bidi="ar"/>
              </w:rPr>
              <w:t>79,260.57</w:t>
            </w:r>
          </w:p>
        </w:tc>
        <w:tc>
          <w:tcPr>
            <w:tcW w:w="1335" w:type="dxa"/>
            <w:tcBorders>
              <w:top w:val="nil"/>
              <w:left w:val="nil"/>
              <w:bottom w:val="single" w:color="auto" w:sz="8" w:space="0"/>
              <w:right w:val="single" w:color="auto" w:sz="8" w:space="0"/>
            </w:tcBorders>
            <w:shd w:val="clear" w:color="auto" w:fill="auto"/>
            <w:vAlign w:val="center"/>
          </w:tcPr>
          <w:p w14:paraId="6BB1F0EF">
            <w:pPr>
              <w:widowControl/>
              <w:spacing w:line="400" w:lineRule="exact"/>
              <w:jc w:val="center"/>
              <w:rPr>
                <w:color w:val="000000"/>
                <w:kern w:val="0"/>
                <w:szCs w:val="21"/>
              </w:rPr>
            </w:pPr>
            <w:r>
              <w:rPr>
                <w:rFonts w:hint="eastAsia"/>
                <w:color w:val="000000"/>
                <w:kern w:val="0"/>
                <w:szCs w:val="21"/>
              </w:rPr>
              <w:t>97.65%</w:t>
            </w:r>
          </w:p>
        </w:tc>
      </w:tr>
    </w:tbl>
    <w:p w14:paraId="34E97B91">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①日常公用经费预算执行情况分析</w:t>
      </w:r>
    </w:p>
    <w:p w14:paraId="7C364755">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2021年，我局日常公用经费调整后年度总指标为39.15万元，实际支出25.00万元，日常公用经费控制率为63.86%。</w:t>
      </w:r>
    </w:p>
    <w:p w14:paraId="495B8A07">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②“三公”经费预算执行情况分析</w:t>
      </w:r>
    </w:p>
    <w:p w14:paraId="57CB1C03">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2021年我局因公出国（境）经费预算数与实际支出数均为零；公务用车购置及运行维护费2021年预算数为3.67万元，实际支出3.15万元；公务接待费2021年预算数为5.00万元，实际支出1.64万元。我局本着厉行勤俭节约、反对铺张浪费的原则，严控“三公”经费支出，经费控制较好。</w:t>
      </w:r>
    </w:p>
    <w:p w14:paraId="25FE8764">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（2）财政资金结余结转情况</w:t>
      </w:r>
    </w:p>
    <w:p w14:paraId="309CDB2D">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2021年年初预算数为43,189.21万元，调整预算数为81,164.95万元，年末决算数为79,260.57万元,年初财政拨款结转和结余决算数为0.00万元。</w:t>
      </w:r>
    </w:p>
    <w:p w14:paraId="0C910AA4">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（3）政府采购执行情况</w:t>
      </w:r>
    </w:p>
    <w:p w14:paraId="3351FF62">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2021年度我局政府采购预算数为1931.52万元，主要用于政府采购服务支出。截至2021年年末，政府采购实际支出</w:t>
      </w:r>
      <w:r>
        <w:rPr>
          <w:rFonts w:ascii="仿宋_GB2312" w:eastAsia="仿宋_GB2312"/>
          <w:color w:val="000000"/>
          <w:kern w:val="0"/>
          <w:sz w:val="32"/>
          <w:szCs w:val="32"/>
        </w:rPr>
        <w:t>730</w:t>
      </w:r>
      <w:r>
        <w:rPr>
          <w:rFonts w:hint="eastAsia" w:ascii="仿宋_GB2312" w:eastAsia="仿宋_GB2312"/>
          <w:color w:val="000000"/>
          <w:kern w:val="0"/>
          <w:sz w:val="32"/>
          <w:szCs w:val="32"/>
        </w:rPr>
        <w:t>.</w:t>
      </w:r>
      <w:r>
        <w:rPr>
          <w:rFonts w:ascii="仿宋_GB2312" w:eastAsia="仿宋_GB2312"/>
          <w:color w:val="000000"/>
          <w:kern w:val="0"/>
          <w:sz w:val="32"/>
          <w:szCs w:val="32"/>
        </w:rPr>
        <w:t>68</w:t>
      </w:r>
      <w:r>
        <w:rPr>
          <w:rFonts w:hint="eastAsia" w:ascii="仿宋_GB2312" w:eastAsia="仿宋_GB2312"/>
          <w:color w:val="000000"/>
          <w:kern w:val="0"/>
          <w:sz w:val="32"/>
          <w:szCs w:val="32"/>
        </w:rPr>
        <w:t xml:space="preserve">万元。 </w:t>
      </w:r>
    </w:p>
    <w:p w14:paraId="6BBF2937">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（4）财务合规性</w:t>
      </w:r>
    </w:p>
    <w:p w14:paraId="1F9D2249">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我局2021年度所有支出均严格按照我局财务管理制度执行，不存在虚列、截留、挤占、挪用项目资金以及其他不符合制度规定的事项发生。</w:t>
      </w:r>
    </w:p>
    <w:p w14:paraId="6A39155F">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（5）预决算信息公开</w:t>
      </w:r>
    </w:p>
    <w:p w14:paraId="2AF5C8F6">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2021年度我局已按照相关的要求在福田区政府在线网站公示，2021年度部门决算将在上级下达批复文件后的20日内于福田区政府在线网站进行信息公开。</w:t>
      </w:r>
    </w:p>
    <w:p w14:paraId="322B4AFA">
      <w:pPr>
        <w:adjustRightInd w:val="0"/>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管理</w:t>
      </w:r>
    </w:p>
    <w:p w14:paraId="41E828D8">
      <w:pPr>
        <w:adjustRightInd w:val="0"/>
        <w:snapToGrid w:val="0"/>
        <w:spacing w:line="56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我局2021年</w:t>
      </w:r>
      <w:r>
        <w:rPr>
          <w:rFonts w:hint="eastAsia" w:ascii="仿宋_GB2312" w:hAnsi="仿宋_GB2312" w:eastAsia="仿宋_GB2312" w:cs="仿宋_GB2312"/>
          <w:sz w:val="32"/>
          <w:szCs w:val="32"/>
        </w:rPr>
        <w:t>全面预算绩效管理，</w:t>
      </w:r>
      <w:r>
        <w:rPr>
          <w:rFonts w:hint="eastAsia" w:ascii="仿宋_GB2312" w:hAnsi="楷体_GB2312" w:eastAsia="仿宋_GB2312" w:cs="楷体_GB2312"/>
          <w:sz w:val="32"/>
          <w:szCs w:val="32"/>
        </w:rPr>
        <w:t>覆盖科技交流合作、科技扶持、科创资源管理、英才荟专项经费、科普活动等</w:t>
      </w:r>
      <w:r>
        <w:rPr>
          <w:rFonts w:ascii="仿宋_GB2312" w:hAnsi="楷体_GB2312" w:eastAsia="仿宋_GB2312" w:cs="楷体_GB2312"/>
          <w:sz w:val="32"/>
          <w:szCs w:val="32"/>
        </w:rPr>
        <w:t>共计</w:t>
      </w:r>
      <w:r>
        <w:rPr>
          <w:rFonts w:hint="eastAsia" w:ascii="仿宋_GB2312" w:hAnsi="楷体_GB2312" w:eastAsia="仿宋_GB2312" w:cs="楷体_GB2312"/>
          <w:sz w:val="32"/>
          <w:szCs w:val="32"/>
        </w:rPr>
        <w:t>18个</w:t>
      </w:r>
      <w:r>
        <w:rPr>
          <w:rFonts w:ascii="仿宋_GB2312" w:hAnsi="楷体_GB2312" w:eastAsia="仿宋_GB2312" w:cs="楷体_GB2312"/>
          <w:sz w:val="32"/>
          <w:szCs w:val="32"/>
        </w:rPr>
        <w:t>项目</w:t>
      </w:r>
      <w:r>
        <w:rPr>
          <w:rFonts w:hint="eastAsia" w:ascii="仿宋_GB2312" w:hAnsi="楷体_GB2312" w:eastAsia="仿宋_GB2312" w:cs="楷体_GB2312"/>
          <w:sz w:val="32"/>
          <w:szCs w:val="32"/>
        </w:rPr>
        <w:t>。</w:t>
      </w:r>
    </w:p>
    <w:p w14:paraId="0273C003">
      <w:pPr>
        <w:adjustRightInd w:val="0"/>
        <w:snapToGrid w:val="0"/>
        <w:spacing w:line="56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2021年</w:t>
      </w:r>
      <w:r>
        <w:rPr>
          <w:rFonts w:ascii="仿宋_GB2312" w:hAnsi="楷体_GB2312" w:eastAsia="仿宋_GB2312" w:cs="楷体_GB2312"/>
          <w:sz w:val="32"/>
          <w:szCs w:val="32"/>
        </w:rPr>
        <w:t>项目</w:t>
      </w:r>
      <w:r>
        <w:rPr>
          <w:rFonts w:hint="eastAsia" w:ascii="仿宋_GB2312" w:hAnsi="楷体_GB2312" w:eastAsia="仿宋_GB2312" w:cs="楷体_GB2312"/>
          <w:sz w:val="32"/>
          <w:szCs w:val="32"/>
        </w:rPr>
        <w:t>预算</w:t>
      </w:r>
      <w:r>
        <w:rPr>
          <w:rFonts w:ascii="仿宋_GB2312" w:hAnsi="楷体_GB2312" w:eastAsia="仿宋_GB2312" w:cs="楷体_GB2312"/>
          <w:sz w:val="32"/>
          <w:szCs w:val="32"/>
        </w:rPr>
        <w:t>总指标</w:t>
      </w:r>
      <w:r>
        <w:rPr>
          <w:rFonts w:hint="eastAsia" w:ascii="仿宋_GB2312" w:eastAsia="仿宋_GB2312"/>
          <w:color w:val="000000"/>
          <w:kern w:val="0"/>
          <w:sz w:val="32"/>
          <w:szCs w:val="32"/>
        </w:rPr>
        <w:t>81,164.95</w:t>
      </w:r>
      <w:r>
        <w:rPr>
          <w:rFonts w:hint="eastAsia" w:ascii="仿宋_GB2312" w:hAnsi="楷体_GB2312" w:eastAsia="仿宋_GB2312" w:cs="楷体_GB2312"/>
          <w:sz w:val="32"/>
          <w:szCs w:val="32"/>
        </w:rPr>
        <w:t>万元</w:t>
      </w:r>
      <w:r>
        <w:rPr>
          <w:rFonts w:ascii="仿宋_GB2312" w:hAnsi="楷体_GB2312" w:eastAsia="仿宋_GB2312" w:cs="楷体_GB2312"/>
          <w:sz w:val="32"/>
          <w:szCs w:val="32"/>
        </w:rPr>
        <w:t>，</w:t>
      </w:r>
      <w:r>
        <w:rPr>
          <w:rFonts w:hint="eastAsia" w:ascii="仿宋_GB2312" w:hAnsi="楷体_GB2312" w:eastAsia="仿宋_GB2312" w:cs="楷体_GB2312"/>
          <w:sz w:val="32"/>
          <w:szCs w:val="32"/>
        </w:rPr>
        <w:t>实际支出</w:t>
      </w:r>
      <w:r>
        <w:rPr>
          <w:rFonts w:hint="eastAsia" w:ascii="仿宋_GB2312" w:eastAsia="仿宋_GB2312"/>
          <w:color w:val="000000"/>
          <w:kern w:val="0"/>
          <w:sz w:val="32"/>
          <w:szCs w:val="32"/>
        </w:rPr>
        <w:t>79,260.57</w:t>
      </w:r>
      <w:r>
        <w:rPr>
          <w:rFonts w:hint="eastAsia" w:ascii="仿宋_GB2312" w:hAnsi="楷体_GB2312" w:eastAsia="仿宋_GB2312" w:cs="楷体_GB2312"/>
          <w:sz w:val="32"/>
          <w:szCs w:val="32"/>
        </w:rPr>
        <w:t>万元，</w:t>
      </w:r>
      <w:r>
        <w:rPr>
          <w:rFonts w:ascii="仿宋_GB2312" w:hAnsi="楷体_GB2312" w:eastAsia="仿宋_GB2312" w:cs="楷体_GB2312"/>
          <w:sz w:val="32"/>
          <w:szCs w:val="32"/>
        </w:rPr>
        <w:t>预算执行率</w:t>
      </w:r>
      <w:r>
        <w:rPr>
          <w:rFonts w:hint="eastAsia" w:ascii="仿宋_GB2312" w:hAnsi="楷体_GB2312" w:eastAsia="仿宋_GB2312" w:cs="楷体_GB2312"/>
          <w:sz w:val="32"/>
          <w:szCs w:val="32"/>
        </w:rPr>
        <w:t>97.65%</w:t>
      </w:r>
      <w:r>
        <w:rPr>
          <w:rFonts w:ascii="仿宋_GB2312" w:hAnsi="楷体_GB2312" w:eastAsia="仿宋_GB2312" w:cs="楷体_GB2312"/>
          <w:sz w:val="32"/>
          <w:szCs w:val="32"/>
        </w:rPr>
        <w:t>，较好的完成了全年项目计划</w:t>
      </w:r>
      <w:r>
        <w:rPr>
          <w:rFonts w:hint="eastAsia" w:ascii="仿宋_GB2312" w:hAnsi="楷体_GB2312" w:eastAsia="仿宋_GB2312" w:cs="楷体_GB2312"/>
          <w:sz w:val="32"/>
          <w:szCs w:val="32"/>
        </w:rPr>
        <w:t>。</w:t>
      </w:r>
    </w:p>
    <w:p w14:paraId="2D99E8E4">
      <w:pPr>
        <w:adjustRightInd w:val="0"/>
        <w:snapToGrid w:val="0"/>
        <w:spacing w:line="56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2021年度所有项目的申报、设立及调整均按我局相关管理制度规定</w:t>
      </w:r>
      <w:r>
        <w:rPr>
          <w:rFonts w:ascii="仿宋_GB2312" w:hAnsi="楷体_GB2312" w:eastAsia="仿宋_GB2312" w:cs="楷体_GB2312"/>
          <w:sz w:val="32"/>
          <w:szCs w:val="32"/>
        </w:rPr>
        <w:t>履行了应有</w:t>
      </w:r>
      <w:r>
        <w:rPr>
          <w:rFonts w:hint="eastAsia" w:ascii="仿宋_GB2312" w:hAnsi="楷体_GB2312" w:eastAsia="仿宋_GB2312" w:cs="楷体_GB2312"/>
          <w:sz w:val="32"/>
          <w:szCs w:val="32"/>
        </w:rPr>
        <w:t>程序。在日常管理中，我局对各项目的具体实施、资金使用都进行了有效监督，对所发现的问题予以督促整改，确保了财政资金使用</w:t>
      </w:r>
      <w:r>
        <w:rPr>
          <w:rFonts w:ascii="仿宋_GB2312" w:hAnsi="楷体_GB2312" w:eastAsia="仿宋_GB2312" w:cs="楷体_GB2312"/>
          <w:sz w:val="32"/>
          <w:szCs w:val="32"/>
        </w:rPr>
        <w:t>安全、</w:t>
      </w:r>
      <w:r>
        <w:rPr>
          <w:rFonts w:hint="eastAsia" w:ascii="仿宋_GB2312" w:hAnsi="楷体_GB2312" w:eastAsia="仿宋_GB2312" w:cs="楷体_GB2312"/>
          <w:sz w:val="32"/>
          <w:szCs w:val="32"/>
        </w:rPr>
        <w:t>合理、合规。</w:t>
      </w:r>
    </w:p>
    <w:p w14:paraId="04883658">
      <w:pPr>
        <w:adjustRightInd w:val="0"/>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资产</w:t>
      </w:r>
      <w:r>
        <w:rPr>
          <w:rFonts w:ascii="仿宋_GB2312" w:hAnsi="仿宋_GB2312" w:eastAsia="仿宋_GB2312" w:cs="仿宋_GB2312"/>
          <w:sz w:val="32"/>
          <w:szCs w:val="32"/>
        </w:rPr>
        <w:t>管理</w:t>
      </w:r>
    </w:p>
    <w:p w14:paraId="78998B55">
      <w:pPr>
        <w:adjustRightInd w:val="0"/>
        <w:snapToGrid w:val="0"/>
        <w:spacing w:line="560" w:lineRule="exact"/>
        <w:ind w:firstLine="640" w:firstLineChars="200"/>
        <w:rPr>
          <w:rFonts w:ascii="仿宋_GB2312" w:hAnsi="楷体_GB2312" w:eastAsia="仿宋_GB2312" w:cs="楷体_GB2312"/>
          <w:bCs/>
          <w:sz w:val="32"/>
          <w:szCs w:val="32"/>
        </w:rPr>
      </w:pPr>
      <w:r>
        <w:rPr>
          <w:rFonts w:hint="eastAsia" w:ascii="仿宋_GB2312" w:hAnsi="楷体_GB2312" w:eastAsia="仿宋_GB2312" w:cs="楷体_GB2312"/>
          <w:bCs/>
          <w:sz w:val="32"/>
          <w:szCs w:val="32"/>
        </w:rPr>
        <w:t>我局制定了《财务</w:t>
      </w:r>
      <w:r>
        <w:rPr>
          <w:rFonts w:ascii="仿宋_GB2312" w:hAnsi="楷体_GB2312" w:eastAsia="仿宋_GB2312" w:cs="楷体_GB2312"/>
          <w:bCs/>
          <w:sz w:val="32"/>
          <w:szCs w:val="32"/>
        </w:rPr>
        <w:t>管理制度》</w:t>
      </w:r>
      <w:r>
        <w:rPr>
          <w:rFonts w:hint="eastAsia" w:ascii="仿宋_GB2312" w:hAnsi="楷体_GB2312" w:eastAsia="仿宋_GB2312" w:cs="楷体_GB2312"/>
          <w:bCs/>
          <w:sz w:val="32"/>
          <w:szCs w:val="32"/>
        </w:rPr>
        <w:t>、《固定资产管理制度》，落实了资产管理人员责任，规范了资产配置、验收、使用、报废、处置等各项程序。2021年度我局资产配置（如计算机、打印机、传真机等）均严格按照政府要求厉行节约、合理配置，且保管完整，账实相符。资产的申购、验收等一律按照我局财务管理制度的审批权限及流程执行。</w:t>
      </w:r>
    </w:p>
    <w:p w14:paraId="35833304">
      <w:pPr>
        <w:adjustRightInd w:val="0"/>
        <w:snapToGrid w:val="0"/>
        <w:spacing w:line="560" w:lineRule="exact"/>
        <w:ind w:firstLine="640" w:firstLineChars="200"/>
        <w:rPr>
          <w:rFonts w:ascii="仿宋_GB2312" w:hAnsi="楷体_GB2312" w:eastAsia="仿宋_GB2312" w:cs="楷体_GB2312"/>
          <w:bCs/>
          <w:sz w:val="32"/>
          <w:szCs w:val="32"/>
        </w:rPr>
      </w:pPr>
      <w:r>
        <w:rPr>
          <w:rFonts w:hint="eastAsia" w:ascii="仿宋_GB2312" w:hAnsi="楷体_GB2312" w:eastAsia="仿宋_GB2312" w:cs="楷体_GB2312"/>
          <w:bCs/>
          <w:sz w:val="32"/>
          <w:szCs w:val="32"/>
        </w:rPr>
        <w:t>2021年末</w:t>
      </w:r>
      <w:r>
        <w:rPr>
          <w:rFonts w:ascii="仿宋_GB2312" w:hAnsi="楷体_GB2312" w:eastAsia="仿宋_GB2312" w:cs="楷体_GB2312"/>
          <w:bCs/>
          <w:sz w:val="32"/>
          <w:szCs w:val="32"/>
        </w:rPr>
        <w:t>，</w:t>
      </w:r>
      <w:r>
        <w:rPr>
          <w:rFonts w:hint="eastAsia" w:ascii="仿宋_GB2312" w:hAnsi="楷体_GB2312" w:eastAsia="仿宋_GB2312" w:cs="楷体_GB2312"/>
          <w:bCs/>
          <w:sz w:val="32"/>
          <w:szCs w:val="32"/>
        </w:rPr>
        <w:t>我局</w:t>
      </w:r>
      <w:r>
        <w:rPr>
          <w:rFonts w:ascii="仿宋_GB2312" w:hAnsi="楷体_GB2312" w:eastAsia="仿宋_GB2312" w:cs="楷体_GB2312"/>
          <w:bCs/>
          <w:sz w:val="32"/>
          <w:szCs w:val="32"/>
        </w:rPr>
        <w:t>资产</w:t>
      </w:r>
      <w:r>
        <w:rPr>
          <w:rFonts w:hint="eastAsia" w:ascii="仿宋_GB2312" w:hAnsi="楷体_GB2312" w:eastAsia="仿宋_GB2312" w:cs="楷体_GB2312"/>
          <w:bCs/>
          <w:sz w:val="32"/>
          <w:szCs w:val="32"/>
        </w:rPr>
        <w:t>账面总额决算</w:t>
      </w:r>
      <w:r>
        <w:rPr>
          <w:rFonts w:ascii="仿宋_GB2312" w:hAnsi="楷体_GB2312" w:eastAsia="仿宋_GB2312" w:cs="楷体_GB2312"/>
          <w:bCs/>
          <w:sz w:val="32"/>
          <w:szCs w:val="32"/>
        </w:rPr>
        <w:t>数为</w:t>
      </w:r>
      <w:r>
        <w:rPr>
          <w:rFonts w:hint="eastAsia" w:ascii="仿宋_GB2312" w:hAnsi="楷体_GB2312" w:eastAsia="仿宋_GB2312" w:cs="楷体_GB2312"/>
          <w:bCs/>
          <w:sz w:val="32"/>
          <w:szCs w:val="32"/>
        </w:rPr>
        <w:t>4,013.55万元,其中</w:t>
      </w:r>
      <w:r>
        <w:rPr>
          <w:rFonts w:ascii="仿宋_GB2312" w:hAnsi="楷体_GB2312" w:eastAsia="仿宋_GB2312" w:cs="楷体_GB2312"/>
          <w:bCs/>
          <w:sz w:val="32"/>
          <w:szCs w:val="32"/>
        </w:rPr>
        <w:t>：</w:t>
      </w:r>
      <w:r>
        <w:rPr>
          <w:rFonts w:hint="eastAsia" w:ascii="仿宋_GB2312" w:hAnsi="楷体_GB2312" w:eastAsia="仿宋_GB2312" w:cs="楷体_GB2312"/>
          <w:bCs/>
          <w:sz w:val="32"/>
          <w:szCs w:val="32"/>
        </w:rPr>
        <w:t>固定资产265件，包括车辆</w:t>
      </w:r>
      <w:r>
        <w:rPr>
          <w:rFonts w:ascii="仿宋_GB2312" w:hAnsi="楷体_GB2312" w:eastAsia="仿宋_GB2312" w:cs="楷体_GB2312"/>
          <w:bCs/>
          <w:sz w:val="32"/>
          <w:szCs w:val="32"/>
        </w:rPr>
        <w:t>、计算机设备及软件、</w:t>
      </w:r>
      <w:r>
        <w:rPr>
          <w:rFonts w:hint="eastAsia" w:ascii="仿宋_GB2312" w:hAnsi="楷体_GB2312" w:eastAsia="仿宋_GB2312" w:cs="楷体_GB2312"/>
          <w:bCs/>
          <w:sz w:val="32"/>
          <w:szCs w:val="32"/>
        </w:rPr>
        <w:t>家具及用具类、通用</w:t>
      </w:r>
      <w:r>
        <w:rPr>
          <w:rFonts w:ascii="仿宋_GB2312" w:hAnsi="楷体_GB2312" w:eastAsia="仿宋_GB2312" w:cs="楷体_GB2312"/>
          <w:bCs/>
          <w:sz w:val="32"/>
          <w:szCs w:val="32"/>
        </w:rPr>
        <w:t>设备、</w:t>
      </w:r>
      <w:r>
        <w:rPr>
          <w:rFonts w:hint="eastAsia" w:ascii="仿宋_GB2312" w:hAnsi="楷体_GB2312" w:eastAsia="仿宋_GB2312" w:cs="楷体_GB2312"/>
          <w:bCs/>
          <w:sz w:val="32"/>
          <w:szCs w:val="32"/>
        </w:rPr>
        <w:t>专用设备等，账面原值合计186.13万元，账面净值</w:t>
      </w:r>
      <w:r>
        <w:rPr>
          <w:rFonts w:ascii="仿宋_GB2312" w:hAnsi="楷体_GB2312" w:eastAsia="仿宋_GB2312" w:cs="楷体_GB2312"/>
          <w:bCs/>
          <w:sz w:val="32"/>
          <w:szCs w:val="32"/>
        </w:rPr>
        <w:t>合计</w:t>
      </w:r>
      <w:r>
        <w:rPr>
          <w:rFonts w:hint="eastAsia" w:ascii="仿宋_GB2312" w:hAnsi="楷体_GB2312" w:eastAsia="仿宋_GB2312" w:cs="楷体_GB2312"/>
          <w:bCs/>
          <w:sz w:val="32"/>
          <w:szCs w:val="32"/>
        </w:rPr>
        <w:t>108.67万元；无形资产2套，账面原值合计172.00万元，账面金额172.00万元。2021年我局</w:t>
      </w:r>
      <w:r>
        <w:rPr>
          <w:rFonts w:ascii="仿宋_GB2312" w:hAnsi="楷体_GB2312" w:eastAsia="仿宋_GB2312" w:cs="楷体_GB2312"/>
          <w:bCs/>
          <w:sz w:val="32"/>
          <w:szCs w:val="32"/>
        </w:rPr>
        <w:t>无闲置资产</w:t>
      </w:r>
      <w:r>
        <w:rPr>
          <w:rFonts w:hint="eastAsia" w:ascii="仿宋_GB2312" w:hAnsi="楷体_GB2312" w:eastAsia="仿宋_GB2312" w:cs="楷体_GB2312"/>
          <w:bCs/>
          <w:sz w:val="32"/>
          <w:szCs w:val="32"/>
        </w:rPr>
        <w:t>，资产使用率达1</w:t>
      </w:r>
      <w:r>
        <w:rPr>
          <w:rFonts w:ascii="仿宋_GB2312" w:hAnsi="楷体_GB2312" w:eastAsia="仿宋_GB2312" w:cs="楷体_GB2312"/>
          <w:bCs/>
          <w:sz w:val="32"/>
          <w:szCs w:val="32"/>
        </w:rPr>
        <w:t>00</w:t>
      </w:r>
      <w:r>
        <w:rPr>
          <w:rFonts w:hint="eastAsia" w:ascii="仿宋_GB2312" w:hAnsi="楷体_GB2312" w:eastAsia="仿宋_GB2312" w:cs="楷体_GB2312"/>
          <w:bCs/>
          <w:sz w:val="32"/>
          <w:szCs w:val="32"/>
        </w:rPr>
        <w:t>%，有固定资产报废处置情况，被处置数量为8</w:t>
      </w:r>
      <w:r>
        <w:rPr>
          <w:rFonts w:ascii="仿宋_GB2312" w:hAnsi="楷体_GB2312" w:eastAsia="仿宋_GB2312" w:cs="楷体_GB2312"/>
          <w:bCs/>
          <w:sz w:val="32"/>
          <w:szCs w:val="32"/>
        </w:rPr>
        <w:t>8</w:t>
      </w:r>
      <w:r>
        <w:rPr>
          <w:rFonts w:hint="eastAsia" w:ascii="仿宋_GB2312" w:hAnsi="楷体_GB2312" w:eastAsia="仿宋_GB2312" w:cs="楷体_GB2312"/>
          <w:bCs/>
          <w:sz w:val="32"/>
          <w:szCs w:val="32"/>
        </w:rPr>
        <w:t>件，期中办公设备2</w:t>
      </w:r>
      <w:r>
        <w:rPr>
          <w:rFonts w:ascii="仿宋_GB2312" w:hAnsi="楷体_GB2312" w:eastAsia="仿宋_GB2312" w:cs="楷体_GB2312"/>
          <w:bCs/>
          <w:sz w:val="32"/>
          <w:szCs w:val="32"/>
        </w:rPr>
        <w:t>2</w:t>
      </w:r>
      <w:r>
        <w:rPr>
          <w:rFonts w:hint="eastAsia" w:ascii="仿宋_GB2312" w:hAnsi="楷体_GB2312" w:eastAsia="仿宋_GB2312" w:cs="楷体_GB2312"/>
          <w:bCs/>
          <w:sz w:val="32"/>
          <w:szCs w:val="32"/>
        </w:rPr>
        <w:t>件，办公家具6</w:t>
      </w:r>
      <w:r>
        <w:rPr>
          <w:rFonts w:ascii="仿宋_GB2312" w:hAnsi="楷体_GB2312" w:eastAsia="仿宋_GB2312" w:cs="楷体_GB2312"/>
          <w:bCs/>
          <w:sz w:val="32"/>
          <w:szCs w:val="32"/>
        </w:rPr>
        <w:t>6</w:t>
      </w:r>
      <w:r>
        <w:rPr>
          <w:rFonts w:hint="eastAsia" w:ascii="仿宋_GB2312" w:hAnsi="楷体_GB2312" w:eastAsia="仿宋_GB2312" w:cs="楷体_GB2312"/>
          <w:bCs/>
          <w:sz w:val="32"/>
          <w:szCs w:val="32"/>
        </w:rPr>
        <w:t>件，被处置固定资产账面原值为1</w:t>
      </w:r>
      <w:r>
        <w:rPr>
          <w:rFonts w:ascii="仿宋_GB2312" w:hAnsi="楷体_GB2312" w:eastAsia="仿宋_GB2312" w:cs="楷体_GB2312"/>
          <w:bCs/>
          <w:sz w:val="32"/>
          <w:szCs w:val="32"/>
        </w:rPr>
        <w:t>6.98</w:t>
      </w:r>
      <w:r>
        <w:rPr>
          <w:rFonts w:hint="eastAsia" w:ascii="仿宋_GB2312" w:hAnsi="楷体_GB2312" w:eastAsia="仿宋_GB2312" w:cs="楷体_GB2312"/>
          <w:bCs/>
          <w:sz w:val="32"/>
          <w:szCs w:val="32"/>
        </w:rPr>
        <w:t>万元，其中办公设备为7</w:t>
      </w:r>
      <w:r>
        <w:rPr>
          <w:rFonts w:ascii="仿宋_GB2312" w:hAnsi="楷体_GB2312" w:eastAsia="仿宋_GB2312" w:cs="楷体_GB2312"/>
          <w:bCs/>
          <w:sz w:val="32"/>
          <w:szCs w:val="32"/>
        </w:rPr>
        <w:t>.61</w:t>
      </w:r>
      <w:r>
        <w:rPr>
          <w:rFonts w:hint="eastAsia" w:ascii="仿宋_GB2312" w:hAnsi="楷体_GB2312" w:eastAsia="仿宋_GB2312" w:cs="楷体_GB2312"/>
          <w:bCs/>
          <w:sz w:val="32"/>
          <w:szCs w:val="32"/>
        </w:rPr>
        <w:t>万元，家具设备为9</w:t>
      </w:r>
      <w:r>
        <w:rPr>
          <w:rFonts w:ascii="仿宋_GB2312" w:hAnsi="楷体_GB2312" w:eastAsia="仿宋_GB2312" w:cs="楷体_GB2312"/>
          <w:bCs/>
          <w:sz w:val="32"/>
          <w:szCs w:val="32"/>
        </w:rPr>
        <w:t>.37</w:t>
      </w:r>
      <w:r>
        <w:rPr>
          <w:rFonts w:hint="eastAsia" w:ascii="仿宋_GB2312" w:hAnsi="楷体_GB2312" w:eastAsia="仿宋_GB2312" w:cs="楷体_GB2312"/>
          <w:bCs/>
          <w:sz w:val="32"/>
          <w:szCs w:val="32"/>
        </w:rPr>
        <w:t>万元，无对外投资、出租出借或处置国有资产取得收益情况。</w:t>
      </w:r>
    </w:p>
    <w:p w14:paraId="0548F31A">
      <w:pPr>
        <w:adjustRightInd w:val="0"/>
        <w:snapToGrid w:val="0"/>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4.人员管理</w:t>
      </w:r>
    </w:p>
    <w:p w14:paraId="5AA2ED55">
      <w:pPr>
        <w:adjustRightInd w:val="0"/>
        <w:snapToGrid w:val="0"/>
        <w:spacing w:line="560" w:lineRule="exact"/>
        <w:ind w:firstLine="640" w:firstLineChars="200"/>
        <w:rPr>
          <w:rFonts w:ascii="仿宋_GB2312" w:hAnsi="楷体_GB2312" w:eastAsia="仿宋_GB2312" w:cs="楷体_GB2312"/>
          <w:bCs/>
          <w:sz w:val="32"/>
          <w:szCs w:val="32"/>
        </w:rPr>
      </w:pPr>
      <w:r>
        <w:rPr>
          <w:rFonts w:hint="eastAsia" w:ascii="仿宋_GB2312" w:hAnsi="楷体_GB2312" w:eastAsia="仿宋_GB2312" w:cs="楷体_GB2312"/>
          <w:bCs/>
          <w:sz w:val="32"/>
          <w:szCs w:val="32"/>
        </w:rPr>
        <w:t>截至2021年年末，我局核定编制数21人，实有在职人员17人，离退休人员7人，工勤人员1个,雇员1个，劳务派遣聘用人员14人。</w:t>
      </w:r>
    </w:p>
    <w:p w14:paraId="3777BB42">
      <w:pPr>
        <w:adjustRightInd w:val="0"/>
        <w:snapToGrid w:val="0"/>
        <w:spacing w:line="560" w:lineRule="exact"/>
        <w:ind w:firstLine="640" w:firstLineChars="200"/>
        <w:rPr>
          <w:rFonts w:ascii="仿宋_GB2312" w:hAnsi="楷体_GB2312" w:eastAsia="仿宋_GB2312" w:cs="楷体_GB2312"/>
          <w:bCs/>
          <w:sz w:val="32"/>
          <w:szCs w:val="32"/>
        </w:rPr>
      </w:pPr>
      <w:r>
        <w:rPr>
          <w:rFonts w:hint="eastAsia" w:ascii="仿宋_GB2312" w:hAnsi="楷体_GB2312" w:eastAsia="仿宋_GB2312" w:cs="楷体_GB2312"/>
          <w:bCs/>
          <w:sz w:val="32"/>
          <w:szCs w:val="32"/>
        </w:rPr>
        <w:t>2021年我局人员经费支出606.07万元，其中工资福利支出489.49万元、对个人和家庭的补助15</w:t>
      </w:r>
      <w:r>
        <w:rPr>
          <w:rFonts w:ascii="仿宋_GB2312" w:hAnsi="楷体_GB2312" w:eastAsia="仿宋_GB2312" w:cs="楷体_GB2312"/>
          <w:bCs/>
          <w:sz w:val="32"/>
          <w:szCs w:val="32"/>
        </w:rPr>
        <w:t>.</w:t>
      </w:r>
      <w:r>
        <w:rPr>
          <w:rFonts w:hint="eastAsia" w:ascii="仿宋_GB2312" w:hAnsi="楷体_GB2312" w:eastAsia="仿宋_GB2312" w:cs="楷体_GB2312"/>
          <w:bCs/>
          <w:sz w:val="32"/>
          <w:szCs w:val="32"/>
        </w:rPr>
        <w:t>48万元。</w:t>
      </w:r>
    </w:p>
    <w:p w14:paraId="0757A39A">
      <w:pPr>
        <w:adjustRightInd w:val="0"/>
        <w:snapToGrid w:val="0"/>
        <w:spacing w:line="560" w:lineRule="exact"/>
        <w:ind w:firstLine="640" w:firstLineChars="200"/>
        <w:rPr>
          <w:rFonts w:ascii="仿宋_GB2312" w:hAnsi="仿宋_GB2312" w:eastAsia="仿宋_GB2312" w:cs="仿宋_GB2312"/>
          <w:bCs/>
          <w:sz w:val="32"/>
          <w:szCs w:val="32"/>
        </w:rPr>
      </w:pPr>
      <w:r>
        <w:rPr>
          <w:rFonts w:ascii="仿宋_GB2312" w:hAnsi="仿宋_GB2312" w:eastAsia="仿宋_GB2312" w:cs="仿宋_GB2312"/>
          <w:bCs/>
          <w:sz w:val="32"/>
          <w:szCs w:val="32"/>
        </w:rPr>
        <w:t>5.</w:t>
      </w:r>
      <w:r>
        <w:rPr>
          <w:rFonts w:hint="eastAsia" w:ascii="仿宋_GB2312" w:hAnsi="仿宋_GB2312" w:eastAsia="仿宋_GB2312" w:cs="仿宋_GB2312"/>
          <w:bCs/>
          <w:sz w:val="32"/>
          <w:szCs w:val="32"/>
        </w:rPr>
        <w:t>制度</w:t>
      </w:r>
      <w:r>
        <w:rPr>
          <w:rFonts w:ascii="仿宋_GB2312" w:hAnsi="仿宋_GB2312" w:eastAsia="仿宋_GB2312" w:cs="仿宋_GB2312"/>
          <w:bCs/>
          <w:sz w:val="32"/>
          <w:szCs w:val="32"/>
        </w:rPr>
        <w:t>管理</w:t>
      </w:r>
    </w:p>
    <w:p w14:paraId="482C0F81">
      <w:pPr>
        <w:adjustRightInd w:val="0"/>
        <w:snapToGrid w:val="0"/>
        <w:spacing w:line="560" w:lineRule="exact"/>
        <w:ind w:firstLine="640" w:firstLineChars="200"/>
        <w:rPr>
          <w:rFonts w:ascii="仿宋_GB2312" w:hAnsi="楷体_GB2312" w:eastAsia="仿宋_GB2312" w:cs="楷体_GB2312"/>
          <w:bCs/>
          <w:sz w:val="32"/>
          <w:szCs w:val="32"/>
        </w:rPr>
      </w:pPr>
      <w:r>
        <w:rPr>
          <w:rFonts w:hint="eastAsia" w:ascii="仿宋_GB2312" w:hAnsi="楷体_GB2312" w:eastAsia="仿宋_GB2312" w:cs="楷体_GB2312"/>
          <w:bCs/>
          <w:sz w:val="32"/>
          <w:szCs w:val="32"/>
        </w:rPr>
        <w:t>我局制定了《财务管理制度》、《合同管理制度》、《固定资产管理制度》、《采购管理制度》、《预算绩效管理制度》、《办公用品管理制度》等一系列规章制度，明确了内部财务、资产、采购、合同、人员等业务事项管理要求</w:t>
      </w:r>
      <w:r>
        <w:rPr>
          <w:rFonts w:ascii="仿宋_GB2312" w:hAnsi="楷体_GB2312" w:eastAsia="仿宋_GB2312" w:cs="楷体_GB2312"/>
          <w:bCs/>
          <w:sz w:val="32"/>
          <w:szCs w:val="32"/>
        </w:rPr>
        <w:t>及工作程序</w:t>
      </w:r>
      <w:r>
        <w:rPr>
          <w:rFonts w:hint="eastAsia" w:ascii="仿宋_GB2312" w:hAnsi="楷体_GB2312" w:eastAsia="仿宋_GB2312" w:cs="楷体_GB2312"/>
          <w:bCs/>
          <w:sz w:val="32"/>
          <w:szCs w:val="32"/>
        </w:rPr>
        <w:t>，为日常</w:t>
      </w:r>
      <w:r>
        <w:rPr>
          <w:rFonts w:ascii="仿宋_GB2312" w:hAnsi="楷体_GB2312" w:eastAsia="仿宋_GB2312" w:cs="楷体_GB2312"/>
          <w:bCs/>
          <w:sz w:val="32"/>
          <w:szCs w:val="32"/>
        </w:rPr>
        <w:t>工作开展提供了</w:t>
      </w:r>
      <w:r>
        <w:rPr>
          <w:rFonts w:hint="eastAsia" w:ascii="仿宋_GB2312" w:hAnsi="楷体_GB2312" w:eastAsia="仿宋_GB2312" w:cs="楷体_GB2312"/>
          <w:bCs/>
          <w:sz w:val="32"/>
          <w:szCs w:val="32"/>
        </w:rPr>
        <w:t>制度</w:t>
      </w:r>
      <w:r>
        <w:rPr>
          <w:rFonts w:ascii="仿宋_GB2312" w:hAnsi="楷体_GB2312" w:eastAsia="仿宋_GB2312" w:cs="楷体_GB2312"/>
          <w:bCs/>
          <w:sz w:val="32"/>
          <w:szCs w:val="32"/>
        </w:rPr>
        <w:t>依据</w:t>
      </w:r>
      <w:r>
        <w:rPr>
          <w:rFonts w:hint="eastAsia" w:ascii="仿宋_GB2312" w:hAnsi="楷体_GB2312" w:eastAsia="仿宋_GB2312" w:cs="楷体_GB2312"/>
          <w:bCs/>
          <w:sz w:val="32"/>
          <w:szCs w:val="32"/>
        </w:rPr>
        <w:t>。</w:t>
      </w:r>
    </w:p>
    <w:p w14:paraId="5D5BA96B">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二、部门（单位）主要履职绩效分析</w:t>
      </w:r>
    </w:p>
    <w:p w14:paraId="207F5ABF">
      <w:pPr>
        <w:adjustRightInd w:val="0"/>
        <w:snapToGrid w:val="0"/>
        <w:spacing w:line="560" w:lineRule="exact"/>
        <w:ind w:firstLine="643" w:firstLineChars="200"/>
        <w:rPr>
          <w:rFonts w:ascii="楷体" w:hAnsi="楷体" w:eastAsia="楷体"/>
          <w:b/>
          <w:color w:val="000000"/>
          <w:sz w:val="32"/>
          <w:szCs w:val="32"/>
        </w:rPr>
      </w:pPr>
      <w:r>
        <w:rPr>
          <w:rFonts w:hint="eastAsia" w:ascii="楷体" w:hAnsi="楷体" w:eastAsia="楷体"/>
          <w:b/>
          <w:color w:val="000000"/>
          <w:sz w:val="32"/>
          <w:szCs w:val="32"/>
        </w:rPr>
        <w:t>（一）主要履职目标</w:t>
      </w:r>
    </w:p>
    <w:p w14:paraId="50C901F1">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深圳市福田区科技创新局2021年主要工作目标包括：全力支持配合建设河套深港科技创新合作区这个政治任务，推进综合性国家科学中心建设，加速集聚高端科创资源，积极准备第二十三届高交会相关工作，努力挖掘产业空间资源，积极推进招商引资工作，扩大招商引资宣传，受理“福田英才”计划的工作，努力做好辖区R&amp;D指数纳统及国高企业申报工作，建设“都市型分布式智能化科创区”，举办相关科普活动，提升“创新福田”影响力，全方位开展科学普及，打造福田科普品牌。</w:t>
      </w:r>
    </w:p>
    <w:p w14:paraId="4A5C4900">
      <w:pPr>
        <w:adjustRightInd w:val="0"/>
        <w:snapToGrid w:val="0"/>
        <w:spacing w:line="560" w:lineRule="exact"/>
        <w:ind w:firstLine="643" w:firstLineChars="200"/>
        <w:rPr>
          <w:rFonts w:ascii="楷体" w:hAnsi="楷体" w:eastAsia="楷体"/>
          <w:b/>
          <w:color w:val="000000"/>
          <w:sz w:val="32"/>
          <w:szCs w:val="32"/>
        </w:rPr>
      </w:pPr>
      <w:r>
        <w:rPr>
          <w:rFonts w:hint="eastAsia" w:ascii="楷体" w:hAnsi="楷体" w:eastAsia="楷体"/>
          <w:b/>
          <w:color w:val="000000"/>
          <w:sz w:val="32"/>
          <w:szCs w:val="32"/>
        </w:rPr>
        <w:t>（二）主要履职情况</w:t>
      </w:r>
    </w:p>
    <w:p w14:paraId="516965A8">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我局坚持把贯彻落实党的十九大精神作为全区科技创新工作的主基调主旋律主任务，坚决打赢疫情防控阻击战，抢抓粤港澳大湾区和中国特色社会主义先行示范区“双区驱动”重大历史机遇，积极构建都市型分布式智能化科创区，加快打造科技创新中心，努力提升科技创新对福田经济社会发展的支撑引领作用。</w:t>
      </w:r>
    </w:p>
    <w:p w14:paraId="536DC402">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在区委区政府的正确领导下，我局始终坚持履行党的新闻舆论工作职责使命，全面加强基层宣传思想文化建设。同时为保证主要工作项目的实施，我局在人、财、物等方面采取了多种措施以保障项目的顺利实施，充分利用各种资源以落实项目。</w:t>
      </w:r>
    </w:p>
    <w:p w14:paraId="350562BC">
      <w:pPr>
        <w:adjustRightInd w:val="0"/>
        <w:snapToGrid w:val="0"/>
        <w:spacing w:line="56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（三）部门履职绩效情况</w:t>
      </w:r>
    </w:p>
    <w:p w14:paraId="2AA99041">
      <w:pPr>
        <w:pStyle w:val="2"/>
        <w:adjustRightInd w:val="0"/>
        <w:snapToGrid w:val="0"/>
        <w:spacing w:line="560" w:lineRule="exact"/>
        <w:ind w:firstLine="640"/>
        <w:rPr>
          <w:rFonts w:eastAsia="仿宋_GB2312"/>
        </w:rPr>
      </w:pPr>
      <w:r>
        <w:rPr>
          <w:rFonts w:hint="eastAsia" w:ascii="仿宋_GB2312" w:hAnsi="仿宋_GB2312" w:eastAsia="仿宋_GB2312" w:cs="仿宋_GB2312"/>
        </w:rPr>
        <w:t>1、经济</w:t>
      </w:r>
      <w:r>
        <w:rPr>
          <w:rFonts w:hint="eastAsia" w:eastAsia="仿宋_GB2312"/>
        </w:rPr>
        <w:t>性。</w:t>
      </w:r>
    </w:p>
    <w:p w14:paraId="460FCBCE">
      <w:pPr>
        <w:pStyle w:val="2"/>
        <w:adjustRightInd w:val="0"/>
        <w:snapToGrid w:val="0"/>
        <w:spacing w:line="560" w:lineRule="exact"/>
        <w:ind w:firstLine="640"/>
        <w:rPr>
          <w:rFonts w:ascii="仿宋_GB2312" w:hAnsi="仿宋_GB2312" w:eastAsia="仿宋_GB2312" w:cs="仿宋_GB2312"/>
        </w:rPr>
      </w:pPr>
      <w:r>
        <w:rPr>
          <w:rFonts w:hint="eastAsia" w:ascii="仿宋_GB2312" w:hAnsi="仿宋_GB2312" w:eastAsia="仿宋_GB2312" w:cs="仿宋_GB2312"/>
        </w:rPr>
        <w:t>我局2021年“三公”经费财政拨款预算总额8.67万元，为公务用车购置及运行维护费以及公务接待费。截至2021年末，“三公”经费实际支出4.79万元，“三公”经费控制率为55.23%。</w:t>
      </w:r>
    </w:p>
    <w:p w14:paraId="670A6E88">
      <w:pPr>
        <w:adjustRightInd w:val="0"/>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kern w:val="0"/>
          <w:sz w:val="32"/>
          <w:szCs w:val="32"/>
        </w:rPr>
        <w:t xml:space="preserve">（1）预算执行率   </w:t>
      </w:r>
    </w:p>
    <w:p w14:paraId="163F494D">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hAnsi="仿宋_GB2312" w:eastAsia="仿宋_GB2312" w:cs="仿宋_GB2312"/>
          <w:kern w:val="0"/>
          <w:sz w:val="32"/>
          <w:szCs w:val="32"/>
        </w:rPr>
        <w:t>2021年各季度执行率分别为62.56%、82.02%、86.94%、97.65%，全年平均执行率为82.29%,</w:t>
      </w:r>
      <w:r>
        <w:rPr>
          <w:rFonts w:hint="eastAsia" w:ascii="仿宋_GB2312" w:eastAsia="仿宋_GB2312"/>
          <w:color w:val="000000"/>
          <w:kern w:val="0"/>
          <w:sz w:val="32"/>
          <w:szCs w:val="32"/>
        </w:rPr>
        <w:t>2021年我局预算调整后年度总指标为81,164.95万元，截至2021年年末，我局实际支出79,260.57万元，2021年部门整体预算执行率达97.65%，预算执行情况较好。详细情况见下表：</w:t>
      </w:r>
    </w:p>
    <w:p w14:paraId="14EBC60C">
      <w:pPr>
        <w:adjustRightInd w:val="0"/>
        <w:snapToGrid w:val="0"/>
        <w:spacing w:line="590" w:lineRule="exact"/>
        <w:jc w:val="center"/>
        <w:rPr>
          <w:rFonts w:ascii="仿宋_GB2312" w:hAnsi="仿宋_GB2312" w:eastAsia="仿宋_GB2312" w:cs="仿宋_GB2312"/>
          <w:b/>
          <w:sz w:val="32"/>
          <w:szCs w:val="32"/>
        </w:rPr>
      </w:pPr>
      <w:r>
        <w:rPr>
          <w:rFonts w:hint="eastAsia" w:ascii="仿宋_GB2312" w:hAnsi="黑体" w:eastAsia="仿宋_GB2312" w:cs="黑体"/>
          <w:kern w:val="0"/>
          <w:sz w:val="32"/>
          <w:szCs w:val="32"/>
        </w:rPr>
        <w:t xml:space="preserve">  2021年部门整体各季度预算执行率</w:t>
      </w:r>
    </w:p>
    <w:tbl>
      <w:tblPr>
        <w:tblStyle w:val="9"/>
        <w:tblpPr w:leftFromText="180" w:rightFromText="180" w:vertAnchor="text" w:horzAnchor="page" w:tblpX="1784" w:tblpY="17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1662"/>
        <w:gridCol w:w="1812"/>
        <w:gridCol w:w="1813"/>
        <w:gridCol w:w="1813"/>
      </w:tblGrid>
      <w:tr w14:paraId="0279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62" w:type="dxa"/>
            <w:vAlign w:val="center"/>
          </w:tcPr>
          <w:p w14:paraId="3419813E">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季度</w:t>
            </w:r>
          </w:p>
        </w:tc>
        <w:tc>
          <w:tcPr>
            <w:tcW w:w="1662" w:type="dxa"/>
            <w:vAlign w:val="center"/>
          </w:tcPr>
          <w:p w14:paraId="517FFAEB">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一季度</w:t>
            </w:r>
          </w:p>
        </w:tc>
        <w:tc>
          <w:tcPr>
            <w:tcW w:w="1812" w:type="dxa"/>
            <w:vAlign w:val="center"/>
          </w:tcPr>
          <w:p w14:paraId="35C9E994">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二季度</w:t>
            </w:r>
          </w:p>
        </w:tc>
        <w:tc>
          <w:tcPr>
            <w:tcW w:w="1813" w:type="dxa"/>
            <w:vAlign w:val="center"/>
          </w:tcPr>
          <w:p w14:paraId="1E12B54C">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三季度</w:t>
            </w:r>
          </w:p>
        </w:tc>
        <w:tc>
          <w:tcPr>
            <w:tcW w:w="1813" w:type="dxa"/>
            <w:vAlign w:val="center"/>
          </w:tcPr>
          <w:p w14:paraId="4EC1F8FA">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四季度</w:t>
            </w:r>
          </w:p>
        </w:tc>
      </w:tr>
      <w:tr w14:paraId="1C4C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62" w:type="dxa"/>
            <w:vAlign w:val="center"/>
          </w:tcPr>
          <w:p w14:paraId="09B90A27">
            <w:pPr>
              <w:snapToGrid w:val="0"/>
              <w:ind w:firstLine="240" w:firstLineChars="100"/>
              <w:jc w:val="center"/>
              <w:outlineLvl w:val="1"/>
              <w:rPr>
                <w:rFonts w:ascii="仿宋_GB2312" w:hAnsi="仿宋_GB2312" w:eastAsia="仿宋_GB2312" w:cs="仿宋_GB2312"/>
                <w:sz w:val="24"/>
              </w:rPr>
            </w:pPr>
            <w:r>
              <w:rPr>
                <w:rFonts w:hint="eastAsia" w:ascii="仿宋_GB2312" w:hAnsi="仿宋_GB2312" w:eastAsia="仿宋_GB2312" w:cs="仿宋_GB2312"/>
                <w:sz w:val="24"/>
              </w:rPr>
              <w:t>指标金额</w:t>
            </w:r>
          </w:p>
        </w:tc>
        <w:tc>
          <w:tcPr>
            <w:tcW w:w="1662" w:type="dxa"/>
            <w:vAlign w:val="center"/>
          </w:tcPr>
          <w:p w14:paraId="1AC72D0D">
            <w:pPr>
              <w:snapToGrid w:val="0"/>
              <w:jc w:val="center"/>
              <w:outlineLvl w:val="1"/>
              <w:rPr>
                <w:rFonts w:ascii="仿宋_GB2312" w:hAnsi="仿宋_GB2312" w:eastAsia="仿宋_GB2312" w:cs="仿宋_GB2312"/>
                <w:sz w:val="24"/>
              </w:rPr>
            </w:pPr>
            <w:r>
              <w:rPr>
                <w:rFonts w:hint="eastAsia" w:ascii="仿宋_GB2312" w:hAnsi="仿宋_GB2312" w:eastAsia="仿宋_GB2312" w:cs="仿宋_GB2312"/>
                <w:sz w:val="24"/>
              </w:rPr>
              <w:t>81,164.95</w:t>
            </w:r>
          </w:p>
        </w:tc>
        <w:tc>
          <w:tcPr>
            <w:tcW w:w="1812" w:type="dxa"/>
            <w:vAlign w:val="center"/>
          </w:tcPr>
          <w:p w14:paraId="6617FCA4">
            <w:pPr>
              <w:snapToGrid w:val="0"/>
              <w:ind w:firstLine="240" w:firstLineChars="100"/>
              <w:outlineLvl w:val="1"/>
              <w:rPr>
                <w:rFonts w:ascii="仿宋_GB2312" w:hAnsi="仿宋_GB2312" w:eastAsia="仿宋_GB2312" w:cs="仿宋_GB2312"/>
                <w:sz w:val="24"/>
              </w:rPr>
            </w:pPr>
            <w:r>
              <w:rPr>
                <w:rFonts w:hint="eastAsia" w:ascii="仿宋_GB2312" w:hAnsi="仿宋_GB2312" w:eastAsia="仿宋_GB2312" w:cs="仿宋_GB2312"/>
                <w:sz w:val="24"/>
              </w:rPr>
              <w:t>81,164.95</w:t>
            </w:r>
          </w:p>
        </w:tc>
        <w:tc>
          <w:tcPr>
            <w:tcW w:w="1813" w:type="dxa"/>
            <w:vAlign w:val="center"/>
          </w:tcPr>
          <w:p w14:paraId="4144019F">
            <w:pPr>
              <w:snapToGrid w:val="0"/>
              <w:ind w:firstLine="240" w:firstLineChars="100"/>
              <w:outlineLvl w:val="1"/>
              <w:rPr>
                <w:rFonts w:ascii="仿宋_GB2312" w:hAnsi="仿宋_GB2312" w:eastAsia="仿宋_GB2312" w:cs="仿宋_GB2312"/>
                <w:sz w:val="24"/>
              </w:rPr>
            </w:pPr>
            <w:r>
              <w:rPr>
                <w:rFonts w:hint="eastAsia" w:ascii="仿宋_GB2312" w:hAnsi="仿宋_GB2312" w:eastAsia="仿宋_GB2312" w:cs="仿宋_GB2312"/>
                <w:sz w:val="24"/>
              </w:rPr>
              <w:t>81,164.95</w:t>
            </w:r>
          </w:p>
        </w:tc>
        <w:tc>
          <w:tcPr>
            <w:tcW w:w="1813" w:type="dxa"/>
            <w:vAlign w:val="center"/>
          </w:tcPr>
          <w:p w14:paraId="68FF116B">
            <w:pPr>
              <w:snapToGrid w:val="0"/>
              <w:ind w:firstLine="240" w:firstLineChars="100"/>
              <w:outlineLvl w:val="1"/>
              <w:rPr>
                <w:rFonts w:ascii="仿宋_GB2312" w:hAnsi="仿宋_GB2312" w:eastAsia="仿宋_GB2312" w:cs="仿宋_GB2312"/>
                <w:sz w:val="24"/>
              </w:rPr>
            </w:pPr>
            <w:r>
              <w:rPr>
                <w:rFonts w:hint="eastAsia" w:ascii="仿宋_GB2312" w:hAnsi="仿宋_GB2312" w:eastAsia="仿宋_GB2312" w:cs="仿宋_GB2312"/>
                <w:sz w:val="24"/>
              </w:rPr>
              <w:t>81,164.95</w:t>
            </w:r>
          </w:p>
        </w:tc>
      </w:tr>
      <w:tr w14:paraId="50B40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62" w:type="dxa"/>
            <w:vAlign w:val="center"/>
          </w:tcPr>
          <w:p w14:paraId="2ED535D7">
            <w:pPr>
              <w:snapToGrid w:val="0"/>
              <w:jc w:val="center"/>
              <w:outlineLvl w:val="1"/>
              <w:rPr>
                <w:rFonts w:ascii="仿宋_GB2312" w:hAnsi="仿宋_GB2312" w:eastAsia="仿宋_GB2312" w:cs="仿宋_GB2312"/>
                <w:sz w:val="24"/>
              </w:rPr>
            </w:pPr>
            <w:r>
              <w:rPr>
                <w:rFonts w:hint="eastAsia" w:ascii="仿宋_GB2312" w:hAnsi="仿宋_GB2312" w:eastAsia="仿宋_GB2312" w:cs="仿宋_GB2312"/>
                <w:sz w:val="24"/>
              </w:rPr>
              <w:t>已支付金额</w:t>
            </w:r>
          </w:p>
        </w:tc>
        <w:tc>
          <w:tcPr>
            <w:tcW w:w="1662" w:type="dxa"/>
            <w:vAlign w:val="center"/>
          </w:tcPr>
          <w:p w14:paraId="447F430F">
            <w:pPr>
              <w:snapToGrid w:val="0"/>
              <w:jc w:val="center"/>
              <w:outlineLvl w:val="1"/>
              <w:rPr>
                <w:rFonts w:ascii="仿宋_GB2312" w:hAnsi="仿宋_GB2312" w:eastAsia="仿宋_GB2312" w:cs="仿宋_GB2312"/>
                <w:sz w:val="24"/>
              </w:rPr>
            </w:pPr>
            <w:r>
              <w:rPr>
                <w:rFonts w:hint="eastAsia" w:ascii="仿宋_GB2312" w:hAnsi="仿宋_GB2312" w:eastAsia="仿宋_GB2312" w:cs="仿宋_GB2312"/>
                <w:sz w:val="24"/>
              </w:rPr>
              <w:t xml:space="preserve">12,693.28 </w:t>
            </w:r>
          </w:p>
        </w:tc>
        <w:tc>
          <w:tcPr>
            <w:tcW w:w="1812" w:type="dxa"/>
            <w:vAlign w:val="center"/>
          </w:tcPr>
          <w:p w14:paraId="613C7B00">
            <w:pPr>
              <w:snapToGrid w:val="0"/>
              <w:jc w:val="center"/>
              <w:outlineLvl w:val="1"/>
              <w:rPr>
                <w:rFonts w:ascii="仿宋_GB2312" w:hAnsi="仿宋_GB2312" w:eastAsia="仿宋_GB2312" w:cs="仿宋_GB2312"/>
                <w:sz w:val="24"/>
              </w:rPr>
            </w:pPr>
            <w:r>
              <w:rPr>
                <w:rFonts w:hint="eastAsia" w:ascii="仿宋_GB2312" w:hAnsi="仿宋_GB2312" w:eastAsia="仿宋_GB2312" w:cs="仿宋_GB2312"/>
                <w:sz w:val="24"/>
              </w:rPr>
              <w:t xml:space="preserve">33,284.43 </w:t>
            </w:r>
          </w:p>
        </w:tc>
        <w:tc>
          <w:tcPr>
            <w:tcW w:w="1813" w:type="dxa"/>
            <w:vAlign w:val="center"/>
          </w:tcPr>
          <w:p w14:paraId="6847A60F">
            <w:pPr>
              <w:snapToGrid w:val="0"/>
              <w:jc w:val="center"/>
              <w:outlineLvl w:val="1"/>
              <w:rPr>
                <w:rFonts w:ascii="仿宋_GB2312" w:hAnsi="仿宋_GB2312" w:eastAsia="仿宋_GB2312" w:cs="仿宋_GB2312"/>
                <w:sz w:val="24"/>
              </w:rPr>
            </w:pPr>
            <w:r>
              <w:rPr>
                <w:rFonts w:hint="eastAsia" w:ascii="仿宋_GB2312" w:hAnsi="仿宋_GB2312" w:eastAsia="仿宋_GB2312" w:cs="仿宋_GB2312"/>
                <w:sz w:val="24"/>
              </w:rPr>
              <w:t xml:space="preserve">52,925.34 </w:t>
            </w:r>
          </w:p>
        </w:tc>
        <w:tc>
          <w:tcPr>
            <w:tcW w:w="1813" w:type="dxa"/>
            <w:vAlign w:val="center"/>
          </w:tcPr>
          <w:p w14:paraId="1FBA7F58">
            <w:pPr>
              <w:snapToGrid w:val="0"/>
              <w:jc w:val="center"/>
              <w:outlineLvl w:val="1"/>
              <w:rPr>
                <w:rFonts w:ascii="仿宋_GB2312" w:hAnsi="仿宋_GB2312" w:eastAsia="仿宋_GB2312" w:cs="仿宋_GB2312"/>
                <w:sz w:val="24"/>
              </w:rPr>
            </w:pPr>
            <w:r>
              <w:rPr>
                <w:rFonts w:hint="eastAsia" w:ascii="仿宋_GB2312" w:hAnsi="仿宋_GB2312" w:eastAsia="仿宋_GB2312" w:cs="仿宋_GB2312"/>
                <w:sz w:val="24"/>
              </w:rPr>
              <w:t xml:space="preserve">79,260.57 </w:t>
            </w:r>
          </w:p>
        </w:tc>
      </w:tr>
      <w:tr w14:paraId="17C2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62" w:type="dxa"/>
            <w:vAlign w:val="center"/>
          </w:tcPr>
          <w:p w14:paraId="25F20EE1">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序时进度</w:t>
            </w:r>
          </w:p>
        </w:tc>
        <w:tc>
          <w:tcPr>
            <w:tcW w:w="1662" w:type="dxa"/>
            <w:vAlign w:val="center"/>
          </w:tcPr>
          <w:p w14:paraId="5231A122">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25%</w:t>
            </w:r>
          </w:p>
        </w:tc>
        <w:tc>
          <w:tcPr>
            <w:tcW w:w="1812" w:type="dxa"/>
            <w:vAlign w:val="center"/>
          </w:tcPr>
          <w:p w14:paraId="54FF758F">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50%</w:t>
            </w:r>
          </w:p>
        </w:tc>
        <w:tc>
          <w:tcPr>
            <w:tcW w:w="1813" w:type="dxa"/>
            <w:vAlign w:val="center"/>
          </w:tcPr>
          <w:p w14:paraId="674DD17A">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75%</w:t>
            </w:r>
          </w:p>
        </w:tc>
        <w:tc>
          <w:tcPr>
            <w:tcW w:w="1813" w:type="dxa"/>
            <w:vAlign w:val="center"/>
          </w:tcPr>
          <w:p w14:paraId="2F6A300E">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100%</w:t>
            </w:r>
          </w:p>
        </w:tc>
      </w:tr>
      <w:tr w14:paraId="55B2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62" w:type="dxa"/>
            <w:vAlign w:val="center"/>
          </w:tcPr>
          <w:p w14:paraId="14A24F12">
            <w:pPr>
              <w:snapToGrid w:val="0"/>
              <w:ind w:firstLine="240" w:firstLineChars="100"/>
              <w:jc w:val="center"/>
              <w:outlineLvl w:val="1"/>
              <w:rPr>
                <w:rFonts w:ascii="仿宋_GB2312" w:hAnsi="仿宋_GB2312" w:eastAsia="仿宋_GB2312" w:cs="仿宋_GB2312"/>
                <w:sz w:val="24"/>
              </w:rPr>
            </w:pPr>
            <w:r>
              <w:rPr>
                <w:rFonts w:hint="eastAsia" w:ascii="仿宋_GB2312" w:hAnsi="仿宋_GB2312" w:eastAsia="仿宋_GB2312" w:cs="仿宋_GB2312"/>
                <w:sz w:val="24"/>
              </w:rPr>
              <w:t>当季执行率</w:t>
            </w:r>
          </w:p>
        </w:tc>
        <w:tc>
          <w:tcPr>
            <w:tcW w:w="1662" w:type="dxa"/>
            <w:vAlign w:val="center"/>
          </w:tcPr>
          <w:p w14:paraId="31C0186B">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62.56%</w:t>
            </w:r>
          </w:p>
        </w:tc>
        <w:tc>
          <w:tcPr>
            <w:tcW w:w="1812" w:type="dxa"/>
            <w:vAlign w:val="center"/>
          </w:tcPr>
          <w:p w14:paraId="31758129">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82.02%</w:t>
            </w:r>
          </w:p>
        </w:tc>
        <w:tc>
          <w:tcPr>
            <w:tcW w:w="1813" w:type="dxa"/>
            <w:vAlign w:val="center"/>
          </w:tcPr>
          <w:p w14:paraId="03E8D5E5">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86.94%</w:t>
            </w:r>
          </w:p>
        </w:tc>
        <w:tc>
          <w:tcPr>
            <w:tcW w:w="1813" w:type="dxa"/>
            <w:vAlign w:val="center"/>
          </w:tcPr>
          <w:p w14:paraId="1662570F">
            <w:pPr>
              <w:snapToGrid w:val="0"/>
              <w:ind w:firstLine="480" w:firstLineChars="200"/>
              <w:jc w:val="center"/>
              <w:outlineLvl w:val="1"/>
              <w:rPr>
                <w:rFonts w:ascii="仿宋_GB2312" w:hAnsi="仿宋_GB2312" w:eastAsia="仿宋_GB2312" w:cs="仿宋_GB2312"/>
                <w:sz w:val="24"/>
              </w:rPr>
            </w:pPr>
            <w:r>
              <w:rPr>
                <w:rFonts w:hint="eastAsia" w:ascii="仿宋_GB2312" w:hAnsi="仿宋_GB2312" w:eastAsia="仿宋_GB2312" w:cs="仿宋_GB2312"/>
                <w:sz w:val="24"/>
              </w:rPr>
              <w:t>97.65%</w:t>
            </w:r>
          </w:p>
        </w:tc>
      </w:tr>
      <w:tr w14:paraId="03ED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62" w:type="dxa"/>
            <w:vAlign w:val="center"/>
          </w:tcPr>
          <w:p w14:paraId="4017F675">
            <w:pPr>
              <w:snapToGrid w:val="0"/>
              <w:jc w:val="center"/>
              <w:outlineLvl w:val="1"/>
              <w:rPr>
                <w:rFonts w:ascii="仿宋_GB2312" w:hAnsi="仿宋_GB2312" w:eastAsia="仿宋_GB2312" w:cs="仿宋_GB2312"/>
                <w:sz w:val="24"/>
              </w:rPr>
            </w:pPr>
            <w:r>
              <w:rPr>
                <w:rFonts w:hint="eastAsia" w:ascii="仿宋_GB2312" w:hAnsi="仿宋_GB2312" w:eastAsia="仿宋_GB2312" w:cs="仿宋_GB2312"/>
                <w:sz w:val="24"/>
              </w:rPr>
              <w:t>全年平均执行率</w:t>
            </w:r>
          </w:p>
        </w:tc>
        <w:tc>
          <w:tcPr>
            <w:tcW w:w="7100" w:type="dxa"/>
            <w:gridSpan w:val="4"/>
            <w:vAlign w:val="center"/>
          </w:tcPr>
          <w:p w14:paraId="7256B866">
            <w:pPr>
              <w:snapToGrid w:val="0"/>
              <w:ind w:firstLine="2880" w:firstLineChars="1200"/>
              <w:outlineLvl w:val="1"/>
              <w:rPr>
                <w:rFonts w:ascii="仿宋_GB2312" w:hAnsi="仿宋_GB2312" w:eastAsia="仿宋_GB2312" w:cs="仿宋_GB2312"/>
                <w:sz w:val="24"/>
              </w:rPr>
            </w:pPr>
            <w:r>
              <w:rPr>
                <w:rFonts w:hint="eastAsia" w:ascii="仿宋_GB2312" w:hAnsi="仿宋_GB2312" w:eastAsia="仿宋_GB2312" w:cs="仿宋_GB2312"/>
                <w:sz w:val="24"/>
              </w:rPr>
              <w:t>82.29%</w:t>
            </w:r>
          </w:p>
        </w:tc>
      </w:tr>
    </w:tbl>
    <w:p w14:paraId="3872B18F">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（2）项目完成及时性</w:t>
      </w:r>
    </w:p>
    <w:p w14:paraId="231287D4">
      <w:pPr>
        <w:snapToGrid w:val="0"/>
        <w:spacing w:line="560" w:lineRule="exact"/>
        <w:ind w:firstLine="640" w:firstLineChars="200"/>
        <w:rPr>
          <w:rFonts w:eastAsia="仿宋_GB2312"/>
        </w:rPr>
      </w:pPr>
      <w:r>
        <w:rPr>
          <w:rFonts w:hint="eastAsia" w:ascii="仿宋_GB2312" w:hAnsi="仿宋_GB2312" w:eastAsia="仿宋_GB2312" w:cs="仿宋_GB2312"/>
          <w:kern w:val="0"/>
          <w:sz w:val="32"/>
          <w:szCs w:val="32"/>
        </w:rPr>
        <w:t>我局项目都能够按照年初计划按时完成，并且各项目都有相应的项目管理者进行监督检查并及时掌握项目实际进度信息，确保预算安排的项目按计划、合同以及实施方案规定的时间完成。</w:t>
      </w:r>
    </w:p>
    <w:p w14:paraId="18F1916E">
      <w:pPr>
        <w:pStyle w:val="2"/>
        <w:spacing w:line="560" w:lineRule="exact"/>
        <w:ind w:firstLine="640"/>
        <w:rPr>
          <w:rFonts w:ascii="仿宋_GB2312" w:hAnsi="仿宋_GB2312" w:eastAsia="仿宋_GB2312" w:cs="仿宋_GB2312"/>
        </w:rPr>
      </w:pPr>
      <w:r>
        <w:rPr>
          <w:rFonts w:hint="eastAsia" w:ascii="仿宋_GB2312" w:hAnsi="仿宋_GB2312" w:eastAsia="仿宋_GB2312" w:cs="仿宋_GB2312"/>
        </w:rPr>
        <w:t>3、效果性</w:t>
      </w:r>
    </w:p>
    <w:p w14:paraId="0664F265">
      <w:pPr>
        <w:spacing w:line="56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（1）</w:t>
      </w:r>
      <w:r>
        <w:rPr>
          <w:rFonts w:hint="eastAsia" w:ascii="仿宋_GB2312" w:eastAsia="仿宋_GB2312"/>
          <w:sz w:val="32"/>
          <w:szCs w:val="32"/>
        </w:rPr>
        <w:t>全力推进河套合作区建设，加快创新资源集聚</w:t>
      </w:r>
    </w:p>
    <w:p w14:paraId="69B3C077">
      <w:pPr>
        <w:spacing w:line="560" w:lineRule="exact"/>
        <w:ind w:firstLine="640" w:firstLineChars="200"/>
        <w:rPr>
          <w:rFonts w:ascii="仿宋_GB2312" w:eastAsia="仿宋_GB2312"/>
          <w:sz w:val="32"/>
          <w:szCs w:val="32"/>
        </w:rPr>
      </w:pPr>
      <w:r>
        <w:rPr>
          <w:rFonts w:hint="eastAsia" w:ascii="仿宋_GB2312" w:eastAsia="仿宋_GB2312"/>
          <w:sz w:val="32"/>
          <w:szCs w:val="32"/>
        </w:rPr>
        <w:t>为深入贯彻落实习近平总书记“规划建设好河套深港科技创新合作区”的指示要求，以“河套深港科技创新合作区”为牵引，建设综合性国家科学中心。通过“租购改建”筹集约50万平方米高品质科研空间，打造国际生物医药产业园、国际量子研究院、香港科学园深圳分园等8个高质量安全专业化科研园区，聚焦生命、信息、材料科学三大方向，落户和推进优质科研项目超过140个。积极布局世界创新城市合作组织等一批国家级重大平台及项目，着力引进香港大学深圳医院转化医学研究中心等5所港校的9个高端科研项目，主动谋划西门子能源深圳创新中心等7个重大产业化项目。此外，深圳园区已经建立UNI 香港青年创业空间等6个港澳青年创新创业基地，具有港澳背景的团队共计561人。目前，正在谋划打造标志性的河套香港青年创新创业谷。</w:t>
      </w:r>
    </w:p>
    <w:p w14:paraId="2FEB82C7">
      <w:pPr>
        <w:spacing w:line="560" w:lineRule="exact"/>
        <w:ind w:firstLine="640" w:firstLineChars="200"/>
        <w:rPr>
          <w:rFonts w:ascii="仿宋_GB2312" w:eastAsia="仿宋_GB2312"/>
          <w:sz w:val="32"/>
          <w:szCs w:val="32"/>
        </w:rPr>
      </w:pPr>
      <w:r>
        <w:rPr>
          <w:rFonts w:hint="eastAsia" w:ascii="仿宋_GB2312" w:eastAsia="仿宋_GB2312"/>
          <w:sz w:val="32"/>
          <w:szCs w:val="32"/>
        </w:rPr>
        <w:t>（2）高标准编制“十四五”规划，布局建设中央创新区</w:t>
      </w:r>
    </w:p>
    <w:p w14:paraId="7904D532">
      <w:pPr>
        <w:spacing w:line="560" w:lineRule="exact"/>
        <w:ind w:firstLine="640" w:firstLineChars="200"/>
        <w:rPr>
          <w:rFonts w:ascii="仿宋_GB2312" w:eastAsia="仿宋_GB2312"/>
          <w:sz w:val="32"/>
          <w:szCs w:val="32"/>
        </w:rPr>
      </w:pPr>
      <w:r>
        <w:rPr>
          <w:rFonts w:hint="eastAsia" w:ascii="仿宋_GB2312" w:eastAsia="仿宋_GB2312"/>
          <w:sz w:val="32"/>
          <w:szCs w:val="32"/>
        </w:rPr>
        <w:t>正式出台《福田区科技创新“十四五”专项规划》，并启动《福田区推进“中央创新区”建设三年行动方案（2021-2023年）》的编制工作，壮大战新产业集群。一是紧跟深圳市“20+7”战略部署，争取承接9大战新产业集群及3大未来产业。牵头多个产业部门，已完成“六个一”工作体系的框架搭建，建立“每周更新材料、每月汇报进度”调度机制。二是利用合作区的独特优势，吸引香港及国际优势科技力量参与，初步谋划以合肥国家实验室深圳基地、粤港澳大湾区量子科学中心等项目为代表的量子硅谷，谋划以全球半导体龙头企业意法半导体全球封测创新中心等项目为代表的湾区芯谷。三是出台战略性新兴产业提质增效工作方案、专利制造运用质量提升工作方案、国高企业培育方案，从政策宣传、培育辅导等七个方面细化工作任务，推动战新产业高质量发展。帮助203家企业成功纳入战新产业企业名录库。初步形成以龙头企业为核心，骨干企业为支柱，大中小企业协同合作发展的格局。四是探索福田区人工智能应用示范区建设、智能网联汽车应用示范区建设，充分利用鹏城实验室分支机构粤港澳大湾区数字经济研究院、自动驾驶领域独角兽企业元戎启行等优势，加大政策支持力度，促进人工智能企业、智能网联汽车产业集聚发展。五是重点引进一批新能源、信息通信、集成电路、人工智能等领域的链主龙头企业，招引一批以入选“2020全球50强机器人公司”的全球独角兽企业极智嘉为代表的智能机器人领域科技企业、以连续多年入选全球网络安全创新500强企业的安恒信息为代表的网络信息安全领域科技企业、以实现国内首次量产具备完全自主知识产权全套汽车前装产品的佑驾创新为代表的人工智能领域高潜力企业落户或设立子公司扎根福田，充分发挥行业标杆示范及产业辐射带动作用，促进产业链集聚发展。</w:t>
      </w:r>
    </w:p>
    <w:p w14:paraId="4973D540">
      <w:pPr>
        <w:spacing w:line="560" w:lineRule="exact"/>
        <w:ind w:firstLine="640" w:firstLineChars="200"/>
        <w:rPr>
          <w:rFonts w:ascii="仿宋_GB2312" w:eastAsia="仿宋_GB2312"/>
          <w:sz w:val="32"/>
          <w:szCs w:val="32"/>
        </w:rPr>
      </w:pPr>
      <w:r>
        <w:rPr>
          <w:rFonts w:hint="eastAsia" w:ascii="仿宋_GB2312" w:eastAsia="仿宋_GB2312"/>
          <w:sz w:val="32"/>
          <w:szCs w:val="32"/>
        </w:rPr>
        <w:t>（3）全方位服务科技企业，促进辖区企业高质量发展</w:t>
      </w:r>
    </w:p>
    <w:p w14:paraId="7BC8DC47">
      <w:pPr>
        <w:spacing w:line="560" w:lineRule="exact"/>
        <w:ind w:firstLine="640" w:firstLineChars="200"/>
        <w:rPr>
          <w:rFonts w:ascii="仿宋_GB2312" w:eastAsia="仿宋_GB2312"/>
          <w:sz w:val="32"/>
          <w:szCs w:val="32"/>
        </w:rPr>
      </w:pPr>
      <w:r>
        <w:rPr>
          <w:rFonts w:hint="eastAsia" w:ascii="仿宋_GB2312" w:eastAsia="仿宋_GB2312"/>
          <w:sz w:val="32"/>
          <w:szCs w:val="32"/>
        </w:rPr>
        <w:t>一是完善产业扶持政策。2021年，我局预计拨付扶持资金3.5亿元，新增支持条款5条，增加扶持力度11条。积极鼓励生物医药研发服务机构、药品、医疗器械上市许可持有人落户，针对性破解EDA工具“卡脖子”难题、中小企业在试制、测试和验证过程中成本较高等难题，进一步加大对集成电路产业的支持。二是拓展产业空间供给。通过加强与企业合作联动,建设标志性科技楼宇，将为我区增加3万平米的高质量产业空间。对入驻的科技企业,每年最高可给予800万元租金支持，有效地降低企业运营成本。首批认定以硬科技为代表的华强北街为“硅街”，以“深南硅园”为代表的四个“硅园”。三是修订完善并出台《福田区科技产业园区（孵化器）认定与管理暂行办法（2021年）》。将更多的民营园区（孵化器）纳入我区产业空间体系，增设运营机构自有种子资金、获得投融资科技企业数量等认定标准，引导管理机构提质增效。四是加强科技人才服务。制定重点团队支持政策，主动对接香港高校科研团队，全年新增7个高层次团队，支持金额高达2175万元。在“英才荟3.0”中新增3项研发团队支持政策，引进高新企业人才407名，全年支持金额近5000万元。完善2021年人才住房配套支持政策，为166家国高企业、研发机构等共分配房源166套，让更多的人才资源汇聚福田。五是加大强企培育力度。全年开展国高企业专场培育辅导会12场，对企业开展“一对一”上门辅导，发动935家企业申报国高。开展国内首场知识产权首席运营官论坛（CIPO）活动及其他交流活动18场，上门服务荣耀终端、平安科技、中广核等产业龙头企业超过20家，培育知识产权强企10家，培育高价值专利150件，助力我区打造知识产权先行示范区。联合中国（南方）知识产权运营中心，成立我区首个“新一代信息技术知识产权联盟”。</w:t>
      </w:r>
    </w:p>
    <w:p w14:paraId="63B77C70">
      <w:pPr>
        <w:spacing w:line="560" w:lineRule="exact"/>
        <w:ind w:firstLine="640" w:firstLineChars="200"/>
        <w:rPr>
          <w:rFonts w:ascii="仿宋_GB2312" w:eastAsia="仿宋_GB2312"/>
          <w:sz w:val="32"/>
          <w:szCs w:val="32"/>
        </w:rPr>
      </w:pPr>
      <w:r>
        <w:rPr>
          <w:rFonts w:hint="eastAsia" w:ascii="仿宋_GB2312" w:eastAsia="仿宋_GB2312"/>
          <w:sz w:val="32"/>
          <w:szCs w:val="32"/>
        </w:rPr>
        <w:t>（4）开展双创相关工作，构建创新创业良好生态</w:t>
      </w:r>
    </w:p>
    <w:p w14:paraId="112DBD37">
      <w:pPr>
        <w:spacing w:line="560" w:lineRule="exact"/>
        <w:ind w:firstLine="640" w:firstLineChars="200"/>
        <w:rPr>
          <w:rFonts w:ascii="仿宋_GB2312" w:eastAsia="仿宋_GB2312"/>
          <w:sz w:val="32"/>
          <w:szCs w:val="32"/>
        </w:rPr>
      </w:pPr>
      <w:r>
        <w:rPr>
          <w:rFonts w:hint="eastAsia" w:ascii="仿宋_GB2312" w:eastAsia="仿宋_GB2312"/>
          <w:sz w:val="32"/>
          <w:szCs w:val="32"/>
        </w:rPr>
        <w:t>一是制定下发《深圳市福田区双创示范基地建设方案（2021-2023年）》。扎实推进双创工作。在全球化创业方向示范基地工作交流会上，国家发改委点名让福田区作经验交流发言。二是在合作区举办2021年全国双创周深圳活动暨第七届深圳国际创客周主会场活动，同期举办了五场福田双创周分会场活动，线上近100万人次参与。三是举办深创赛福田预选赛。在比赛模式、落地跟踪、配套服务等方面全面升级，赛事成果斐然。目前，我区项目报名总量734个，再创新高，较2020年同比增长31%；邀请创业投资机构266家、评审专家347人；推荐晋级深创赛半决赛项目64个，其中16个项目晋级市赛行业决赛，10个项目获奖，获奖率62.5%，9个项目成功晋级国赛。</w:t>
      </w:r>
    </w:p>
    <w:p w14:paraId="22C0A95E">
      <w:pPr>
        <w:spacing w:line="560" w:lineRule="exact"/>
        <w:ind w:firstLine="640" w:firstLineChars="200"/>
        <w:rPr>
          <w:rFonts w:ascii="仿宋_GB2312" w:eastAsia="仿宋_GB2312"/>
          <w:sz w:val="32"/>
          <w:szCs w:val="32"/>
        </w:rPr>
      </w:pPr>
      <w:r>
        <w:rPr>
          <w:rFonts w:hint="eastAsia" w:ascii="仿宋_GB2312" w:eastAsia="仿宋_GB2312"/>
          <w:sz w:val="32"/>
          <w:szCs w:val="32"/>
        </w:rPr>
        <w:t>（5）举办各类科技活动，营造科技创新浓厚氛围</w:t>
      </w:r>
    </w:p>
    <w:p w14:paraId="542E5270">
      <w:pPr>
        <w:spacing w:line="560" w:lineRule="exact"/>
        <w:ind w:firstLine="640" w:firstLineChars="200"/>
        <w:rPr>
          <w:rFonts w:ascii="仿宋_GB2312" w:eastAsia="仿宋_GB2312"/>
          <w:sz w:val="32"/>
          <w:szCs w:val="32"/>
        </w:rPr>
      </w:pPr>
      <w:r>
        <w:rPr>
          <w:rFonts w:hint="eastAsia" w:ascii="仿宋_GB2312" w:eastAsia="仿宋_GB2312"/>
          <w:sz w:val="32"/>
          <w:szCs w:val="32"/>
        </w:rPr>
        <w:t>一是强化第一资源理念，助力科技人才集聚。出色完成第十九届中国国际人才交流大会福田区各项任务，邀请元戎启行、未来机器人、香港科技大学等44家优秀科创企业及研究机构参展，吸引30余个国家和地区的1000多家专业组织、机构、企业，10000余名海内外专家学者、高端人才集聚福田，区科创局（科协）荣获全省唯一县区级“最佳组织奖”。二是大力开展全民科普，提升居民科学素养。面向市民精心策划“科普嘉年华”等科普及学术科技交流活动120余场，直接受众人次达25万。全国科技活动周福田区系列活动，同步线上直播点击量超230万；全国科普日暨深圳（福田）科普月系列活动，得到新华网、央广网以及省市30余家媒体广泛报道，科普活动数量和质量位于全市前列。三是构建社会全域参与，科普阵地日益完善。积极挖掘社会资源和福田科技企业特色，新增创建“华强北博物馆”、“中广核研究院”等14家市级科普教育基地和示范点，全区累计创建科普教育基地45个（其中国家级1个、省级6个、市级38个），构建全社会参与科普工作新局面。四是打造科技活动品牌，科技教育成效显著。打造“我是小小科学家”、“福田青少年科技节”、“VR进校园”等活动品牌， 2021年福田区学生斩获世界级、国家级科创竞赛冠军10项，助力福田科技教育在全国走在前列。</w:t>
      </w:r>
    </w:p>
    <w:p w14:paraId="101D83FB">
      <w:pPr>
        <w:spacing w:line="560" w:lineRule="exact"/>
        <w:ind w:firstLine="640" w:firstLineChars="200"/>
        <w:rPr>
          <w:rFonts w:ascii="仿宋_GB2312" w:eastAsia="仿宋_GB2312"/>
          <w:sz w:val="32"/>
          <w:szCs w:val="32"/>
        </w:rPr>
      </w:pPr>
      <w:r>
        <w:rPr>
          <w:rFonts w:hint="eastAsia" w:ascii="仿宋_GB2312" w:eastAsia="仿宋_GB2312"/>
          <w:sz w:val="32"/>
          <w:szCs w:val="32"/>
        </w:rPr>
        <w:t>（6）开展党史学习教育，夯实党风廉政基础</w:t>
      </w:r>
    </w:p>
    <w:p w14:paraId="575D003C">
      <w:pPr>
        <w:spacing w:line="560" w:lineRule="exact"/>
        <w:ind w:firstLine="640" w:firstLineChars="200"/>
        <w:rPr>
          <w:rFonts w:ascii="仿宋_GB2312" w:eastAsia="仿宋_GB2312"/>
          <w:sz w:val="32"/>
          <w:szCs w:val="32"/>
        </w:rPr>
      </w:pPr>
      <w:r>
        <w:rPr>
          <w:rFonts w:hint="eastAsia" w:ascii="仿宋_GB2312" w:eastAsia="仿宋_GB2312"/>
          <w:sz w:val="32"/>
          <w:szCs w:val="32"/>
        </w:rPr>
        <w:t>区科创局扎实开展党史学习教育，第一时间成立福田区科技创新局党史学习教育领导小组，印发党史学习教育的实施方案。结合党建“书记项目”，为企业、群众办实事，与辖区十余家重点科技企业开展联合党建活动，参与社区志愿活动90人次，共向辖区科技企业发放口罩10万余个，并对在新冠疫苗注射中的突出表现突出的企业，颁发“抗疫之星”奖牌。</w:t>
      </w:r>
    </w:p>
    <w:p w14:paraId="25DEE5A6">
      <w:pPr>
        <w:spacing w:line="560" w:lineRule="exact"/>
        <w:ind w:firstLine="640" w:firstLineChars="200"/>
        <w:rPr>
          <w:rFonts w:ascii="仿宋_GB2312" w:eastAsia="仿宋_GB2312"/>
          <w:sz w:val="32"/>
          <w:szCs w:val="32"/>
        </w:rPr>
      </w:pPr>
      <w:r>
        <w:rPr>
          <w:rFonts w:hint="eastAsia" w:ascii="仿宋_GB2312" w:eastAsia="仿宋_GB2312"/>
          <w:sz w:val="32"/>
          <w:szCs w:val="32"/>
        </w:rPr>
        <w:t>在局党组的领导下，区科创局认真落实巡视巡察整改、审计整改，建章立制，建立健全各项管理制度。坚决落实区委巡察督查工作要求，对上轮巡察发现的22项问题坚决整改，在不到1个月的时间，已完成整改18项，建立完善各项制度9个，持续抓好纪律教育和监督。从严从实开展审计整改工作，起草《福田区科技创新局产业资金内部审核管理制度（试行）》，明确专项资金的工作流程；聘请第三方会计机构对产业资金进行复核，规避科室资金审核和发放错误的风险；及时追收14家迁出企业的扶持资金共计14,164,900元，督促1家企业迁回福田，对怠于还款的企业，多次约谈督促，委托专业律师团队、出具行政处理决定书等方式进一步追收，避免了财政资金损失。</w:t>
      </w:r>
    </w:p>
    <w:p w14:paraId="731CE1B3">
      <w:pPr>
        <w:pStyle w:val="2"/>
        <w:numPr>
          <w:ilvl w:val="0"/>
          <w:numId w:val="2"/>
        </w:numPr>
        <w:spacing w:line="560" w:lineRule="exact"/>
        <w:ind w:firstLine="640"/>
        <w:rPr>
          <w:rFonts w:ascii="仿宋_GB2312" w:eastAsia="仿宋_GB2312"/>
        </w:rPr>
      </w:pPr>
      <w:r>
        <w:rPr>
          <w:rFonts w:hint="eastAsia" w:ascii="仿宋_GB2312" w:eastAsia="仿宋_GB2312"/>
        </w:rPr>
        <w:t>公平性</w:t>
      </w:r>
    </w:p>
    <w:p w14:paraId="360B8C69">
      <w:pPr>
        <w:pStyle w:val="2"/>
        <w:spacing w:line="560" w:lineRule="exact"/>
        <w:ind w:firstLine="640"/>
        <w:rPr>
          <w:rFonts w:ascii="仿宋_GB2312" w:eastAsia="仿宋_GB2312"/>
        </w:rPr>
      </w:pPr>
      <w:r>
        <w:rPr>
          <w:rFonts w:hint="eastAsia" w:ascii="仿宋_GB2312" w:eastAsia="仿宋_GB2312"/>
        </w:rPr>
        <w:t xml:space="preserve">    2021年度，我局认真听取群众意见，在矛盾没有激化前抓住问题不放，坚持早发现、早控制、早解决，真正做到“情况在一线掌握，工作在一线落实，问题在一线解决，矛盾在一线化解”，减少了群众上访事件的发生。同时，我局为辖区群众提供了信访机制，如热线、邮箱、网站留言等方式。</w:t>
      </w:r>
    </w:p>
    <w:p w14:paraId="74165FB3">
      <w:pPr>
        <w:spacing w:line="560" w:lineRule="exact"/>
        <w:ind w:firstLine="640" w:firstLineChars="200"/>
        <w:rPr>
          <w:rFonts w:ascii="黑体" w:hAnsi="黑体" w:eastAsia="黑体"/>
          <w:sz w:val="32"/>
          <w:szCs w:val="32"/>
        </w:rPr>
      </w:pPr>
      <w:r>
        <w:rPr>
          <w:rFonts w:hint="eastAsia" w:ascii="黑体" w:hAnsi="黑体" w:eastAsia="黑体"/>
          <w:sz w:val="32"/>
          <w:szCs w:val="32"/>
        </w:rPr>
        <w:t xml:space="preserve"> 三、总体评价和整改措施</w:t>
      </w:r>
    </w:p>
    <w:p w14:paraId="196241C7">
      <w:pPr>
        <w:adjustRightInd w:val="0"/>
        <w:snapToGrid w:val="0"/>
        <w:spacing w:line="560" w:lineRule="exact"/>
        <w:ind w:firstLine="643" w:firstLineChars="200"/>
        <w:rPr>
          <w:rFonts w:ascii="楷体" w:hAnsi="楷体" w:eastAsia="楷体"/>
          <w:b/>
          <w:color w:val="000000"/>
          <w:sz w:val="32"/>
          <w:szCs w:val="32"/>
        </w:rPr>
      </w:pPr>
      <w:r>
        <w:rPr>
          <w:rFonts w:hint="eastAsia" w:ascii="楷体" w:hAnsi="楷体" w:eastAsia="楷体"/>
          <w:b/>
          <w:color w:val="000000"/>
          <w:sz w:val="32"/>
          <w:szCs w:val="32"/>
        </w:rPr>
        <w:t>（一）预算绩效管理工作主要经验、做法。</w:t>
      </w:r>
    </w:p>
    <w:p w14:paraId="69822A8F">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我局建立了队伍管理长效机制，不断加强队伍正规范化建设，同时把绩效理念融入预算管理全过程，着力构建预算绩效管理机制，并强调要重点从加强预算绩效目标管理、强化绩效运行跟踪监控、督促绩效评价和整改、增强预算绩效管理透明度等方面强化管理、落实责任，预算绩效管理取得了一定的成绩和经验。</w:t>
      </w:r>
    </w:p>
    <w:p w14:paraId="41A7A3CA">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1、建立制度保障。</w:t>
      </w:r>
    </w:p>
    <w:p w14:paraId="57434F2D">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我局在财务制度中对预算绩效管理作出了相关规定，明确了预算绩效目标及绩效执行情况的编报与审核流程，并将预算绩效执行结果作为次年预算申报依据。</w:t>
      </w:r>
    </w:p>
    <w:p w14:paraId="4C416689">
      <w:pPr>
        <w:spacing w:line="560" w:lineRule="exact"/>
        <w:ind w:firstLine="640" w:firstLineChars="200"/>
        <w:rPr>
          <w:rFonts w:ascii="仿宋_GB2312" w:eastAsia="仿宋_GB2312"/>
          <w:color w:val="000000"/>
          <w:kern w:val="0"/>
          <w:sz w:val="32"/>
          <w:szCs w:val="32"/>
        </w:rPr>
      </w:pPr>
      <w:r>
        <w:rPr>
          <w:rFonts w:ascii="仿宋_GB2312" w:eastAsia="仿宋_GB2312"/>
          <w:color w:val="000000"/>
          <w:kern w:val="0"/>
          <w:sz w:val="32"/>
          <w:szCs w:val="32"/>
        </w:rPr>
        <w:t>2.加强绩效目标全流程管理</w:t>
      </w:r>
    </w:p>
    <w:p w14:paraId="040772E9">
      <w:pPr>
        <w:spacing w:line="560" w:lineRule="exact"/>
        <w:ind w:firstLine="640" w:firstLineChars="200"/>
        <w:rPr>
          <w:rFonts w:ascii="仿宋_GB2312" w:eastAsia="仿宋_GB2312"/>
          <w:color w:val="000000"/>
          <w:kern w:val="0"/>
          <w:sz w:val="32"/>
          <w:szCs w:val="32"/>
        </w:rPr>
      </w:pPr>
      <w:r>
        <w:rPr>
          <w:rFonts w:ascii="仿宋_GB2312" w:eastAsia="仿宋_GB2312"/>
          <w:color w:val="000000"/>
          <w:kern w:val="0"/>
          <w:sz w:val="32"/>
          <w:szCs w:val="32"/>
        </w:rPr>
        <w:t>一是</w:t>
      </w:r>
      <w:r>
        <w:rPr>
          <w:rFonts w:hint="eastAsia" w:ascii="仿宋_GB2312" w:eastAsia="仿宋_GB2312"/>
          <w:color w:val="000000"/>
          <w:kern w:val="0"/>
          <w:sz w:val="32"/>
          <w:szCs w:val="32"/>
        </w:rPr>
        <w:t>我局</w:t>
      </w:r>
      <w:r>
        <w:rPr>
          <w:rFonts w:ascii="仿宋_GB2312" w:eastAsia="仿宋_GB2312"/>
          <w:color w:val="000000"/>
          <w:kern w:val="0"/>
          <w:sz w:val="32"/>
          <w:szCs w:val="32"/>
        </w:rPr>
        <w:t>在编制202</w:t>
      </w:r>
      <w:r>
        <w:rPr>
          <w:rFonts w:hint="eastAsia" w:ascii="仿宋_GB2312" w:eastAsia="仿宋_GB2312"/>
          <w:color w:val="000000"/>
          <w:kern w:val="0"/>
          <w:sz w:val="32"/>
          <w:szCs w:val="32"/>
        </w:rPr>
        <w:t>1</w:t>
      </w:r>
      <w:r>
        <w:rPr>
          <w:rFonts w:ascii="仿宋_GB2312" w:eastAsia="仿宋_GB2312"/>
          <w:color w:val="000000"/>
          <w:kern w:val="0"/>
          <w:sz w:val="32"/>
          <w:szCs w:val="32"/>
        </w:rPr>
        <w:t>年度预算时，要求各科室在梳理本科室年度工作计划的基础上，按照相关要求和标准编制项目绩效目标，办公室对各项目的绩效目标进行审核与汇总，并形成部门整体绩效目标向财政部门申报。在部门预算执行的过程中，始终坚持以完成整体绩效目标和项目绩效目标为导向，确保资金使用围绕年度工作目标进行。二是</w:t>
      </w:r>
      <w:r>
        <w:rPr>
          <w:rFonts w:hint="eastAsia" w:ascii="仿宋_GB2312" w:eastAsia="仿宋_GB2312"/>
          <w:color w:val="000000"/>
          <w:kern w:val="0"/>
          <w:sz w:val="32"/>
          <w:szCs w:val="32"/>
        </w:rPr>
        <w:t>我局</w:t>
      </w:r>
      <w:r>
        <w:rPr>
          <w:rFonts w:ascii="仿宋_GB2312" w:eastAsia="仿宋_GB2312"/>
          <w:color w:val="000000"/>
          <w:kern w:val="0"/>
          <w:sz w:val="32"/>
          <w:szCs w:val="32"/>
        </w:rPr>
        <w:t>定期对预算项目开展监控,在项目执行过程中形成动态监管反馈机制，对项目执行过程中可能出现的问题及时纠正。三是预算执行结束后，及时对预算资金产出的经济性、效率性、效益性实施评价，并按照财政要求，形成项目自评表与整体绩效自评报告。对预算资金产出的经济性、效率性、效益性实施评价，并按照财政要求，形成项目自评表与整体绩效自评报告。</w:t>
      </w:r>
    </w:p>
    <w:p w14:paraId="2CCFFFA8">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3、</w:t>
      </w:r>
      <w:r>
        <w:rPr>
          <w:rFonts w:ascii="仿宋_GB2312" w:eastAsia="仿宋_GB2312"/>
          <w:color w:val="000000"/>
          <w:kern w:val="0"/>
          <w:sz w:val="32"/>
          <w:szCs w:val="32"/>
        </w:rPr>
        <w:t>加强部门间配合与沟通</w:t>
      </w:r>
    </w:p>
    <w:p w14:paraId="428F8D8C">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我局</w:t>
      </w:r>
      <w:r>
        <w:rPr>
          <w:rFonts w:ascii="仿宋_GB2312" w:eastAsia="仿宋_GB2312"/>
          <w:color w:val="000000"/>
          <w:kern w:val="0"/>
          <w:sz w:val="32"/>
          <w:szCs w:val="32"/>
        </w:rPr>
        <w:t>在预算执行过程中定期进行预算执行进度分析，进行资金动态计划管理。办公室与预项目责任负责人在项目推进、资金进度、绩效目标实现等方面存在的问题进行多次沟通，从各方面促进资金支付和绩效目标。</w:t>
      </w:r>
    </w:p>
    <w:p w14:paraId="18361292">
      <w:pPr>
        <w:spacing w:line="560" w:lineRule="exact"/>
        <w:ind w:firstLine="643" w:firstLineChars="200"/>
        <w:rPr>
          <w:rFonts w:ascii="仿宋_GB2312" w:eastAsia="仿宋_GB2312"/>
          <w:color w:val="000000"/>
          <w:kern w:val="0"/>
          <w:sz w:val="32"/>
          <w:szCs w:val="32"/>
        </w:rPr>
      </w:pPr>
      <w:r>
        <w:rPr>
          <w:rFonts w:hint="eastAsia" w:ascii="楷体" w:hAnsi="楷体" w:eastAsia="楷体"/>
          <w:b/>
          <w:color w:val="000000"/>
          <w:sz w:val="32"/>
          <w:szCs w:val="32"/>
        </w:rPr>
        <w:t>（二）部门整体支出绩效存在问题及改进措施。</w:t>
      </w:r>
    </w:p>
    <w:p w14:paraId="6D73354A">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1、存在的问题。通过本次部门整体支出自评发现,我局整体支出执行进度良好，主要表现为:</w:t>
      </w:r>
    </w:p>
    <w:p w14:paraId="77D0584F">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1）绩效指标设置完整性和明确性不足。目前我局各预算项目绩效目标由各科室经办人员设置，造成设置目标时主观性较大;即使是同类型的项目，由于各人理解不同，设置目标也不相同，缺乏统一标准，存在个别项目绩效指标设置不够完整或者不明确的情况，对全面客观科学的考核项目完成情况造成一定困难。</w:t>
      </w:r>
    </w:p>
    <w:p w14:paraId="0ED8B56E">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（2）编外人员控制率偏高，人管理有待加强。</w:t>
      </w:r>
      <w:r>
        <w:rPr>
          <w:rFonts w:ascii="仿宋_GB2312" w:eastAsia="仿宋_GB2312"/>
          <w:color w:val="000000"/>
          <w:kern w:val="0"/>
          <w:sz w:val="32"/>
          <w:szCs w:val="32"/>
        </w:rPr>
        <w:t>该问题主要涉及的扣分指标为“编外人员控制率”</w:t>
      </w:r>
      <w:r>
        <w:rPr>
          <w:rFonts w:hint="eastAsia" w:ascii="仿宋_GB2312" w:eastAsia="仿宋_GB2312"/>
          <w:color w:val="000000"/>
          <w:kern w:val="0"/>
          <w:sz w:val="32"/>
          <w:szCs w:val="32"/>
        </w:rPr>
        <w:t>，2021年度我局编外人员控制率达42.42%，高于区财政局绩效考核标准水平。需进一步加强人员管理，控制编外人员数量。</w:t>
      </w:r>
    </w:p>
    <w:p w14:paraId="2AB4F1A3">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（3）预算执行率偏低。本单位使用财政局提供的《预算指标执行情况表》统计发现，第一季度预算执行率为</w:t>
      </w:r>
      <w:r>
        <w:rPr>
          <w:rFonts w:ascii="仿宋_GB2312" w:eastAsia="仿宋_GB2312"/>
          <w:color w:val="000000"/>
          <w:kern w:val="0"/>
          <w:sz w:val="32"/>
          <w:szCs w:val="32"/>
        </w:rPr>
        <w:t>15</w:t>
      </w:r>
      <w:r>
        <w:rPr>
          <w:rFonts w:hint="eastAsia" w:ascii="仿宋_GB2312" w:eastAsia="仿宋_GB2312"/>
          <w:color w:val="000000"/>
          <w:kern w:val="0"/>
          <w:sz w:val="32"/>
          <w:szCs w:val="32"/>
        </w:rPr>
        <w:t>.</w:t>
      </w:r>
      <w:r>
        <w:rPr>
          <w:rFonts w:ascii="仿宋_GB2312" w:eastAsia="仿宋_GB2312"/>
          <w:color w:val="000000"/>
          <w:kern w:val="0"/>
          <w:sz w:val="32"/>
          <w:szCs w:val="32"/>
        </w:rPr>
        <w:t>64</w:t>
      </w:r>
      <w:r>
        <w:rPr>
          <w:rFonts w:hint="eastAsia" w:ascii="仿宋_GB2312" w:eastAsia="仿宋_GB2312"/>
          <w:color w:val="000000"/>
          <w:kern w:val="0"/>
          <w:sz w:val="32"/>
          <w:szCs w:val="32"/>
        </w:rPr>
        <w:t>%（一季度总支出数/总指标*25%）、第二季度预算执行率为</w:t>
      </w:r>
      <w:r>
        <w:rPr>
          <w:rFonts w:ascii="仿宋_GB2312" w:eastAsia="仿宋_GB2312"/>
          <w:color w:val="000000"/>
          <w:kern w:val="0"/>
          <w:sz w:val="32"/>
          <w:szCs w:val="32"/>
        </w:rPr>
        <w:t>25.37</w:t>
      </w:r>
      <w:r>
        <w:rPr>
          <w:rFonts w:hint="eastAsia" w:ascii="仿宋_GB2312" w:eastAsia="仿宋_GB2312"/>
          <w:color w:val="000000"/>
          <w:kern w:val="0"/>
          <w:sz w:val="32"/>
          <w:szCs w:val="32"/>
        </w:rPr>
        <w:t>%（二季度总支出数/总指标*50%）。预算执行率偏低的主要原因是部分项目支出数据未体现在《预算指标执行情况表》的“支出数”字段。例如产业发展专项资金-科技创新分项项目，截止至2</w:t>
      </w:r>
      <w:r>
        <w:rPr>
          <w:rFonts w:ascii="仿宋_GB2312" w:eastAsia="仿宋_GB2312"/>
          <w:color w:val="000000"/>
          <w:kern w:val="0"/>
          <w:sz w:val="32"/>
          <w:szCs w:val="32"/>
        </w:rPr>
        <w:t>021</w:t>
      </w:r>
      <w:r>
        <w:rPr>
          <w:rFonts w:hint="eastAsia" w:ascii="仿宋_GB2312" w:eastAsia="仿宋_GB2312"/>
          <w:color w:val="000000"/>
          <w:kern w:val="0"/>
          <w:sz w:val="32"/>
          <w:szCs w:val="32"/>
        </w:rPr>
        <w:t>年1</w:t>
      </w:r>
      <w:r>
        <w:rPr>
          <w:rFonts w:ascii="仿宋_GB2312" w:eastAsia="仿宋_GB2312"/>
          <w:color w:val="000000"/>
          <w:kern w:val="0"/>
          <w:sz w:val="32"/>
          <w:szCs w:val="32"/>
        </w:rPr>
        <w:t>2</w:t>
      </w:r>
      <w:r>
        <w:rPr>
          <w:rFonts w:hint="eastAsia" w:ascii="仿宋_GB2312" w:eastAsia="仿宋_GB2312"/>
          <w:color w:val="000000"/>
          <w:kern w:val="0"/>
          <w:sz w:val="32"/>
          <w:szCs w:val="32"/>
        </w:rPr>
        <w:t>月2</w:t>
      </w:r>
      <w:r>
        <w:rPr>
          <w:rFonts w:ascii="仿宋_GB2312" w:eastAsia="仿宋_GB2312"/>
          <w:color w:val="000000"/>
          <w:kern w:val="0"/>
          <w:sz w:val="32"/>
          <w:szCs w:val="32"/>
        </w:rPr>
        <w:t>7</w:t>
      </w:r>
      <w:r>
        <w:rPr>
          <w:rFonts w:hint="eastAsia" w:ascii="仿宋_GB2312" w:eastAsia="仿宋_GB2312"/>
          <w:color w:val="000000"/>
          <w:kern w:val="0"/>
          <w:sz w:val="32"/>
          <w:szCs w:val="32"/>
        </w:rPr>
        <w:t>日完成的指标金额为</w:t>
      </w:r>
      <w:r>
        <w:rPr>
          <w:rFonts w:ascii="仿宋_GB2312" w:eastAsia="仿宋_GB2312"/>
          <w:color w:val="000000"/>
          <w:kern w:val="0"/>
          <w:sz w:val="32"/>
          <w:szCs w:val="32"/>
        </w:rPr>
        <w:t>34,799.99</w:t>
      </w:r>
      <w:r>
        <w:rPr>
          <w:rFonts w:hint="eastAsia" w:ascii="仿宋_GB2312" w:eastAsia="仿宋_GB2312"/>
          <w:color w:val="000000"/>
          <w:kern w:val="0"/>
          <w:sz w:val="32"/>
          <w:szCs w:val="32"/>
        </w:rPr>
        <w:t>万元，《预算指标执行</w:t>
      </w:r>
      <w:bookmarkStart w:id="0" w:name="_GoBack"/>
      <w:bookmarkEnd w:id="0"/>
      <w:r>
        <w:rPr>
          <w:rFonts w:hint="eastAsia" w:ascii="仿宋_GB2312" w:eastAsia="仿宋_GB2312"/>
          <w:color w:val="000000"/>
          <w:kern w:val="0"/>
          <w:sz w:val="32"/>
          <w:szCs w:val="32"/>
        </w:rPr>
        <w:t>情况表》显示该项目本年度的“支出数”为0</w:t>
      </w:r>
      <w:r>
        <w:rPr>
          <w:rFonts w:ascii="仿宋_GB2312" w:eastAsia="仿宋_GB2312"/>
          <w:color w:val="000000"/>
          <w:kern w:val="0"/>
          <w:sz w:val="32"/>
          <w:szCs w:val="32"/>
        </w:rPr>
        <w:t>.00</w:t>
      </w:r>
      <w:r>
        <w:rPr>
          <w:rFonts w:hint="eastAsia" w:ascii="仿宋_GB2312" w:eastAsia="仿宋_GB2312"/>
          <w:color w:val="000000"/>
          <w:kern w:val="0"/>
          <w:sz w:val="32"/>
          <w:szCs w:val="32"/>
        </w:rPr>
        <w:t>万元，与实际支出情况不一致。</w:t>
      </w:r>
    </w:p>
    <w:p w14:paraId="7AA6C849">
      <w:pPr>
        <w:pStyle w:val="2"/>
        <w:spacing w:line="560" w:lineRule="exact"/>
        <w:ind w:firstLine="640"/>
        <w:rPr>
          <w:rFonts w:ascii="仿宋_GB2312" w:eastAsia="仿宋_GB2312"/>
          <w:color w:val="000000"/>
          <w:kern w:val="0"/>
        </w:rPr>
      </w:pPr>
      <w:r>
        <w:rPr>
          <w:rFonts w:hint="eastAsia" w:ascii="仿宋_GB2312" w:eastAsia="仿宋_GB2312"/>
          <w:color w:val="000000"/>
          <w:kern w:val="0"/>
        </w:rPr>
        <w:t>（4）调整资金累计超过预算总规模的10%。2021年我局决算表中年初预算数为43,189.21万元，调整预算数为81,164.95万元，导致我局2021年调整资金累计超过预算总规模的10%的主要原因在于：根据《2020年1月8日区建设深港科技创新合作区领导小组工作会议纪要》，合作署项目经费等各项预算均由合作署自行向区财政局申报，再由区财政局将经费拨付到我局账户上，由我局负责实施代拨。该问题主要涉及“部门管理-资金管理-财务合规性”，根据部门整体支出绩效评价共性指标体系框架的相关标准，此项需扣1分。</w:t>
      </w:r>
    </w:p>
    <w:p w14:paraId="6B5EA30F">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2、改进措施</w:t>
      </w:r>
    </w:p>
    <w:p w14:paraId="28A2711C">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（1）</w:t>
      </w:r>
      <w:r>
        <w:rPr>
          <w:rFonts w:ascii="仿宋_GB2312" w:eastAsia="仿宋_GB2312"/>
          <w:color w:val="000000"/>
          <w:kern w:val="0"/>
          <w:sz w:val="32"/>
          <w:szCs w:val="32"/>
        </w:rPr>
        <w:t>建立健全项目绩效指标，提高绩效指标</w:t>
      </w:r>
      <w:r>
        <w:rPr>
          <w:rFonts w:hint="eastAsia" w:ascii="仿宋_GB2312" w:eastAsia="仿宋_GB2312"/>
          <w:color w:val="000000"/>
          <w:kern w:val="0"/>
          <w:sz w:val="32"/>
          <w:szCs w:val="32"/>
        </w:rPr>
        <w:t>完整</w:t>
      </w:r>
      <w:r>
        <w:rPr>
          <w:rFonts w:ascii="仿宋_GB2312" w:eastAsia="仿宋_GB2312"/>
          <w:color w:val="000000"/>
          <w:kern w:val="0"/>
          <w:sz w:val="32"/>
          <w:szCs w:val="32"/>
        </w:rPr>
        <w:t>性、</w:t>
      </w:r>
      <w:r>
        <w:rPr>
          <w:rFonts w:hint="eastAsia" w:ascii="仿宋_GB2312" w:eastAsia="仿宋_GB2312"/>
          <w:color w:val="000000"/>
          <w:kern w:val="0"/>
          <w:sz w:val="32"/>
          <w:szCs w:val="32"/>
        </w:rPr>
        <w:t>明确</w:t>
      </w:r>
      <w:r>
        <w:rPr>
          <w:rFonts w:ascii="仿宋_GB2312" w:eastAsia="仿宋_GB2312"/>
          <w:color w:val="000000"/>
          <w:kern w:val="0"/>
          <w:sz w:val="32"/>
          <w:szCs w:val="32"/>
        </w:rPr>
        <w:t>性。</w:t>
      </w:r>
    </w:p>
    <w:p w14:paraId="7AD9FFFB">
      <w:pPr>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我局</w:t>
      </w:r>
      <w:r>
        <w:rPr>
          <w:rFonts w:ascii="仿宋_GB2312" w:eastAsia="仿宋_GB2312"/>
          <w:color w:val="000000"/>
          <w:kern w:val="0"/>
          <w:sz w:val="32"/>
          <w:szCs w:val="32"/>
        </w:rPr>
        <w:t>将结合部门职能和工作目标,以及以往年度的目标编报经验,围绕本单位主要履职项目和重点项目，梳理各项目绩效目标，建立一个能充分、客观、科学反映</w:t>
      </w:r>
      <w:r>
        <w:rPr>
          <w:rFonts w:hint="eastAsia" w:ascii="仿宋_GB2312" w:eastAsia="仿宋_GB2312"/>
          <w:color w:val="000000"/>
          <w:kern w:val="0"/>
          <w:sz w:val="32"/>
          <w:szCs w:val="32"/>
        </w:rPr>
        <w:t>我局</w:t>
      </w:r>
      <w:r>
        <w:rPr>
          <w:rFonts w:ascii="仿宋_GB2312" w:eastAsia="仿宋_GB2312"/>
          <w:color w:val="000000"/>
          <w:kern w:val="0"/>
          <w:sz w:val="32"/>
          <w:szCs w:val="32"/>
        </w:rPr>
        <w:t>年度工作履职情况的绩效目标体系。</w:t>
      </w:r>
    </w:p>
    <w:p w14:paraId="183E44F6">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（2）规范编外人员用工，进行总量控制。</w:t>
      </w:r>
    </w:p>
    <w:p w14:paraId="27E83FC0">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加强人员管理，实行编外人员总量控制，严格按照区核定编外人员总数控制编外人员数量。因实际工作需使用编外人员的，应在区核定编外人员控制数内招录，并严格履行编外用工报批程序，不断规范编外人员用工。</w:t>
      </w:r>
    </w:p>
    <w:p w14:paraId="13E26CF0">
      <w:pPr>
        <w:adjustRightInd w:val="0"/>
        <w:snapToGrid w:val="0"/>
        <w:spacing w:line="560" w:lineRule="exact"/>
        <w:ind w:firstLine="640" w:firstLineChars="200"/>
        <w:rPr>
          <w:rFonts w:ascii="仿宋_GB2312" w:eastAsia="仿宋_GB2312"/>
          <w:color w:val="000000"/>
          <w:kern w:val="0"/>
          <w:sz w:val="32"/>
          <w:szCs w:val="32"/>
        </w:rPr>
      </w:pPr>
      <w:r>
        <w:rPr>
          <w:rFonts w:hint="eastAsia" w:ascii="仿宋_GB2312" w:eastAsia="仿宋_GB2312"/>
          <w:color w:val="000000"/>
          <w:kern w:val="0"/>
          <w:sz w:val="32"/>
          <w:szCs w:val="32"/>
        </w:rPr>
        <w:t>（3）积极与区财政局沟通，反映《预算指标执行情况表》数据统计的问题。</w:t>
      </w:r>
    </w:p>
    <w:p w14:paraId="7079F1E6">
      <w:pPr>
        <w:spacing w:line="560" w:lineRule="exact"/>
        <w:ind w:firstLine="640" w:firstLineChars="200"/>
        <w:rPr>
          <w:rFonts w:ascii="仿宋_GB2312" w:hAnsi="仿宋" w:eastAsia="仿宋_GB2312"/>
          <w:sz w:val="32"/>
          <w:szCs w:val="32"/>
        </w:rPr>
      </w:pPr>
      <w:r>
        <w:rPr>
          <w:rFonts w:hint="eastAsia" w:ascii="仿宋_GB2312" w:eastAsia="仿宋_GB2312"/>
          <w:color w:val="000000"/>
          <w:kern w:val="0"/>
          <w:sz w:val="32"/>
          <w:szCs w:val="32"/>
        </w:rPr>
        <w:t>协助信息系统工程师修复漏洞，确保实际支出数据能在《预算指标执行情况表》的 “支出数”字段准确统计。另一方面，</w:t>
      </w:r>
      <w:r>
        <w:rPr>
          <w:rFonts w:hint="eastAsia" w:ascii="仿宋_GB2312" w:hAnsi="仿宋" w:eastAsia="仿宋_GB2312"/>
          <w:sz w:val="32"/>
          <w:szCs w:val="32"/>
        </w:rPr>
        <w:t>加强预算执行工作，将有针对性地开展工作，尽可能均衡预算执行，将预算执行作为重要督办事项。</w:t>
      </w:r>
    </w:p>
    <w:p w14:paraId="11420609">
      <w:pPr>
        <w:pStyle w:val="2"/>
        <w:spacing w:line="560" w:lineRule="exact"/>
        <w:ind w:firstLine="640"/>
        <w:rPr>
          <w:rFonts w:ascii="仿宋_GB2312" w:hAnsi="仿宋" w:eastAsia="仿宋_GB2312"/>
        </w:rPr>
      </w:pPr>
      <w:r>
        <w:rPr>
          <w:rFonts w:hint="eastAsia" w:ascii="仿宋_GB2312" w:hAnsi="仿宋" w:eastAsia="仿宋_GB2312"/>
        </w:rPr>
        <w:t>（4）减少预算调整、调剂的发生，提高预算编制质量。</w:t>
      </w:r>
    </w:p>
    <w:p w14:paraId="2CEE35F4">
      <w:pPr>
        <w:pStyle w:val="2"/>
        <w:spacing w:line="560" w:lineRule="exact"/>
        <w:ind w:firstLine="640"/>
        <w:rPr>
          <w:rFonts w:ascii="楷体" w:hAnsi="楷体" w:eastAsia="楷体"/>
          <w:b/>
          <w:color w:val="000000"/>
        </w:rPr>
      </w:pPr>
      <w:r>
        <w:rPr>
          <w:rFonts w:hint="eastAsia" w:ascii="仿宋_GB2312" w:hAnsi="仿宋" w:eastAsia="仿宋_GB2312"/>
        </w:rPr>
        <w:t>一是加强预算资金的编制管理，实现细化预算,提高预算的科学性、准确性。二是确定合理的预算指标体系和开支标准，在编制预算时,要对预算经费的指标体系、项目用途、开支标准、开支范围等进行细化。三是改变过去严预算、松调整、调剂的分配观念,从根本上减少或杜绝预算调整、调剂的发生，从而提升预算编制的合理性。</w:t>
      </w:r>
    </w:p>
    <w:p w14:paraId="49988B56">
      <w:pPr>
        <w:adjustRightInd w:val="0"/>
        <w:snapToGrid w:val="0"/>
        <w:spacing w:line="560" w:lineRule="exact"/>
        <w:ind w:firstLine="643" w:firstLineChars="200"/>
        <w:rPr>
          <w:rFonts w:ascii="楷体" w:hAnsi="楷体" w:eastAsia="楷体"/>
          <w:b/>
          <w:color w:val="000000"/>
          <w:sz w:val="32"/>
          <w:szCs w:val="32"/>
        </w:rPr>
      </w:pPr>
      <w:r>
        <w:rPr>
          <w:rFonts w:hint="eastAsia" w:ascii="楷体" w:hAnsi="楷体" w:eastAsia="楷体"/>
          <w:b/>
          <w:color w:val="000000"/>
          <w:sz w:val="32"/>
          <w:szCs w:val="32"/>
        </w:rPr>
        <w:t>（三）后续工作计划、相关建议等。</w:t>
      </w:r>
    </w:p>
    <w:p w14:paraId="7C2636D5">
      <w:pPr>
        <w:spacing w:line="560" w:lineRule="exact"/>
        <w:ind w:firstLine="640" w:firstLineChars="200"/>
      </w:pPr>
      <w:r>
        <w:rPr>
          <w:rFonts w:hint="eastAsia" w:ascii="仿宋_GB2312" w:eastAsia="仿宋_GB2312"/>
          <w:color w:val="000000"/>
          <w:kern w:val="0"/>
          <w:sz w:val="32"/>
          <w:szCs w:val="32"/>
        </w:rPr>
        <w:t>强化预算绩效理念，全面普及绩效管理知识，提升绩效管理业务素质能力，将提高绩效管理水平作为下一阶段的工作重点，以促进绩效管理工作的常态化开展。</w:t>
      </w:r>
    </w:p>
    <w:p w14:paraId="61128C5A">
      <w:pPr>
        <w:spacing w:line="560" w:lineRule="exact"/>
        <w:ind w:firstLine="643" w:firstLineChars="200"/>
        <w:rPr>
          <w:rFonts w:ascii="黑体" w:hAnsi="黑体" w:eastAsia="黑体"/>
          <w:b/>
          <w:bCs/>
          <w:sz w:val="32"/>
          <w:szCs w:val="32"/>
        </w:rPr>
      </w:pPr>
      <w:r>
        <w:rPr>
          <w:rFonts w:hint="eastAsia" w:ascii="黑体" w:hAnsi="黑体" w:eastAsia="黑体"/>
          <w:b/>
          <w:bCs/>
          <w:sz w:val="32"/>
          <w:szCs w:val="32"/>
        </w:rPr>
        <w:t>四、部门整体支出绩效评价指标评分情况</w:t>
      </w:r>
    </w:p>
    <w:p w14:paraId="1F9F4605">
      <w:pPr>
        <w:adjustRightInd w:val="0"/>
        <w:snapToGrid w:val="0"/>
        <w:spacing w:line="560" w:lineRule="exact"/>
        <w:ind w:firstLine="640" w:firstLineChars="200"/>
        <w:rPr>
          <w:rFonts w:ascii="黑体" w:hAnsi="黑体" w:eastAsia="黑体"/>
          <w:sz w:val="32"/>
          <w:szCs w:val="32"/>
        </w:rPr>
      </w:pPr>
      <w:r>
        <w:rPr>
          <w:rFonts w:hint="eastAsia" w:ascii="仿宋_GB2312" w:eastAsia="仿宋_GB2312"/>
          <w:sz w:val="32"/>
          <w:szCs w:val="32"/>
        </w:rPr>
        <w:t>参照《</w:t>
      </w:r>
      <w:r>
        <w:rPr>
          <w:rFonts w:hint="eastAsia" w:ascii="仿宋_GB2312" w:hAnsi="仿宋_GB2312" w:eastAsia="仿宋_GB2312"/>
          <w:sz w:val="32"/>
          <w:lang w:val="zh-CN"/>
        </w:rPr>
        <w:t>福田区部门整体支出绩效评价共性指标体系框架</w:t>
      </w:r>
      <w:r>
        <w:rPr>
          <w:rFonts w:hint="eastAsia" w:ascii="仿宋_GB2312" w:eastAsia="仿宋_GB2312"/>
          <w:sz w:val="32"/>
          <w:szCs w:val="32"/>
        </w:rPr>
        <w:t>》进行自评，填报得分情况，我局202</w:t>
      </w:r>
      <w:r>
        <w:rPr>
          <w:rFonts w:ascii="仿宋_GB2312" w:eastAsia="仿宋_GB2312"/>
          <w:sz w:val="32"/>
          <w:szCs w:val="32"/>
        </w:rPr>
        <w:t>1</w:t>
      </w:r>
      <w:r>
        <w:rPr>
          <w:rFonts w:hint="eastAsia" w:ascii="仿宋_GB2312" w:eastAsia="仿宋_GB2312"/>
          <w:sz w:val="32"/>
          <w:szCs w:val="32"/>
        </w:rPr>
        <w:t>部门整体支出绩效自评总体得分为94.94分。具体评分情况详见附件1：202</w:t>
      </w:r>
      <w:r>
        <w:rPr>
          <w:rFonts w:ascii="仿宋_GB2312" w:eastAsia="仿宋_GB2312"/>
          <w:sz w:val="32"/>
          <w:szCs w:val="32"/>
        </w:rPr>
        <w:t>1</w:t>
      </w:r>
      <w:r>
        <w:rPr>
          <w:rFonts w:hint="eastAsia" w:ascii="仿宋_GB2312" w:eastAsia="仿宋_GB2312"/>
          <w:sz w:val="32"/>
          <w:szCs w:val="32"/>
        </w:rPr>
        <w:t>年度部门整体支出绩效评价指标体系评分表</w:t>
      </w:r>
    </w:p>
    <w:p w14:paraId="3C4DE1D1">
      <w:pPr>
        <w:spacing w:line="590" w:lineRule="exact"/>
        <w:ind w:firstLine="450" w:firstLineChars="250"/>
        <w:rPr>
          <w:sz w:val="18"/>
          <w:szCs w:val="18"/>
        </w:rPr>
      </w:pPr>
    </w:p>
    <w:p w14:paraId="12DCEB04">
      <w:pPr>
        <w:pStyle w:val="3"/>
        <w:rPr>
          <w:sz w:val="18"/>
          <w:szCs w:val="18"/>
        </w:rPr>
      </w:pPr>
    </w:p>
    <w:p w14:paraId="4030B4FF">
      <w:pPr>
        <w:rPr>
          <w:sz w:val="18"/>
          <w:szCs w:val="18"/>
        </w:rPr>
      </w:pPr>
    </w:p>
    <w:p w14:paraId="279C6B7C">
      <w:pPr>
        <w:pStyle w:val="3"/>
        <w:rPr>
          <w:sz w:val="18"/>
          <w:szCs w:val="18"/>
        </w:rPr>
      </w:pPr>
    </w:p>
    <w:p w14:paraId="36D44D83">
      <w:pPr>
        <w:rPr>
          <w:sz w:val="18"/>
          <w:szCs w:val="18"/>
        </w:rPr>
      </w:pPr>
    </w:p>
    <w:p w14:paraId="09AE6FC9">
      <w:pPr>
        <w:pStyle w:val="3"/>
        <w:rPr>
          <w:sz w:val="18"/>
          <w:szCs w:val="18"/>
        </w:rPr>
        <w:sectPr>
          <w:pgSz w:w="11907" w:h="16839"/>
          <w:pgMar w:top="1440" w:right="851" w:bottom="1440" w:left="1134" w:header="851" w:footer="992" w:gutter="0"/>
          <w:cols w:space="425" w:num="1"/>
          <w:docGrid w:type="lines" w:linePitch="312" w:charSpace="0"/>
        </w:sectPr>
      </w:pPr>
    </w:p>
    <w:p w14:paraId="040339A8">
      <w:pPr>
        <w:spacing w:line="320" w:lineRule="exact"/>
        <w:jc w:val="center"/>
        <w:rPr>
          <w:rFonts w:ascii="仿宋_GB2312" w:eastAsia="仿宋_GB2312" w:cs="仿宋_GB2312"/>
          <w:sz w:val="32"/>
          <w:szCs w:val="32"/>
        </w:rPr>
      </w:pPr>
      <w:r>
        <w:rPr>
          <w:rFonts w:hint="eastAsia" w:ascii="仿宋_GB2312" w:eastAsia="仿宋_GB2312" w:cs="仿宋_GB2312"/>
          <w:sz w:val="32"/>
          <w:szCs w:val="32"/>
        </w:rPr>
        <w:t>部门整体支出绩效评价共性指标体系框架</w:t>
      </w:r>
    </w:p>
    <w:tbl>
      <w:tblPr>
        <w:tblStyle w:val="9"/>
        <w:tblW w:w="14248" w:type="dxa"/>
        <w:tblInd w:w="-106" w:type="dxa"/>
        <w:tblLayout w:type="fixed"/>
        <w:tblCellMar>
          <w:top w:w="0" w:type="dxa"/>
          <w:left w:w="108" w:type="dxa"/>
          <w:bottom w:w="0" w:type="dxa"/>
          <w:right w:w="108" w:type="dxa"/>
        </w:tblCellMar>
      </w:tblPr>
      <w:tblGrid>
        <w:gridCol w:w="577"/>
        <w:gridCol w:w="508"/>
        <w:gridCol w:w="547"/>
        <w:gridCol w:w="571"/>
        <w:gridCol w:w="705"/>
        <w:gridCol w:w="567"/>
        <w:gridCol w:w="2551"/>
        <w:gridCol w:w="7371"/>
        <w:gridCol w:w="851"/>
      </w:tblGrid>
      <w:tr w14:paraId="32953D6A">
        <w:tblPrEx>
          <w:tblCellMar>
            <w:top w:w="0" w:type="dxa"/>
            <w:left w:w="108" w:type="dxa"/>
            <w:bottom w:w="0" w:type="dxa"/>
            <w:right w:w="108" w:type="dxa"/>
          </w:tblCellMar>
        </w:tblPrEx>
        <w:trPr>
          <w:trHeight w:val="180" w:hRule="atLeast"/>
          <w:tblHeader/>
        </w:trPr>
        <w:tc>
          <w:tcPr>
            <w:tcW w:w="3475" w:type="dxa"/>
            <w:gridSpan w:val="6"/>
            <w:tcBorders>
              <w:top w:val="single" w:color="auto" w:sz="4" w:space="0"/>
              <w:left w:val="single" w:color="auto" w:sz="4" w:space="0"/>
              <w:bottom w:val="single" w:color="auto" w:sz="4" w:space="0"/>
              <w:right w:val="single" w:color="auto" w:sz="4" w:space="0"/>
            </w:tcBorders>
            <w:vAlign w:val="center"/>
          </w:tcPr>
          <w:p w14:paraId="0AC78806">
            <w:pPr>
              <w:spacing w:line="320" w:lineRule="exact"/>
              <w:jc w:val="center"/>
              <w:rPr>
                <w:rFonts w:ascii="黑体" w:hAnsi="黑体" w:eastAsia="黑体"/>
                <w:kern w:val="0"/>
              </w:rPr>
            </w:pPr>
            <w:r>
              <w:rPr>
                <w:rFonts w:hint="eastAsia" w:ascii="黑体" w:hAnsi="黑体" w:eastAsia="黑体" w:cs="黑体"/>
                <w:kern w:val="0"/>
              </w:rPr>
              <w:t>评价指标</w:t>
            </w:r>
          </w:p>
        </w:tc>
        <w:tc>
          <w:tcPr>
            <w:tcW w:w="2551" w:type="dxa"/>
            <w:vMerge w:val="restart"/>
            <w:tcBorders>
              <w:top w:val="single" w:color="auto" w:sz="4" w:space="0"/>
              <w:left w:val="nil"/>
              <w:right w:val="single" w:color="auto" w:sz="4" w:space="0"/>
            </w:tcBorders>
            <w:vAlign w:val="center"/>
          </w:tcPr>
          <w:p w14:paraId="23BA052E">
            <w:pPr>
              <w:spacing w:line="320" w:lineRule="exact"/>
              <w:jc w:val="center"/>
              <w:rPr>
                <w:rFonts w:ascii="黑体" w:hAnsi="黑体" w:eastAsia="黑体"/>
                <w:kern w:val="0"/>
              </w:rPr>
            </w:pPr>
            <w:r>
              <w:rPr>
                <w:rFonts w:hint="eastAsia" w:ascii="黑体" w:hAnsi="黑体" w:eastAsia="黑体" w:cs="黑体"/>
                <w:kern w:val="0"/>
              </w:rPr>
              <w:t>指标说明</w:t>
            </w:r>
          </w:p>
        </w:tc>
        <w:tc>
          <w:tcPr>
            <w:tcW w:w="7371" w:type="dxa"/>
            <w:vMerge w:val="restart"/>
            <w:tcBorders>
              <w:top w:val="single" w:color="auto" w:sz="4" w:space="0"/>
              <w:left w:val="nil"/>
              <w:right w:val="single" w:color="auto" w:sz="4" w:space="0"/>
            </w:tcBorders>
            <w:vAlign w:val="center"/>
          </w:tcPr>
          <w:p w14:paraId="326575A0">
            <w:pPr>
              <w:spacing w:line="320" w:lineRule="exact"/>
              <w:jc w:val="center"/>
              <w:rPr>
                <w:rFonts w:ascii="黑体" w:hAnsi="黑体" w:eastAsia="黑体"/>
                <w:kern w:val="0"/>
              </w:rPr>
            </w:pPr>
            <w:r>
              <w:rPr>
                <w:rFonts w:hint="eastAsia" w:ascii="黑体" w:hAnsi="黑体" w:eastAsia="黑体" w:cs="黑体"/>
                <w:kern w:val="0"/>
              </w:rPr>
              <w:t>参考评分标准</w:t>
            </w:r>
          </w:p>
        </w:tc>
        <w:tc>
          <w:tcPr>
            <w:tcW w:w="851" w:type="dxa"/>
            <w:vMerge w:val="restart"/>
            <w:tcBorders>
              <w:top w:val="single" w:color="auto" w:sz="4" w:space="0"/>
              <w:left w:val="nil"/>
              <w:right w:val="single" w:color="auto" w:sz="4" w:space="0"/>
            </w:tcBorders>
            <w:vAlign w:val="center"/>
          </w:tcPr>
          <w:p w14:paraId="795E52A3">
            <w:pPr>
              <w:spacing w:line="320" w:lineRule="exact"/>
              <w:jc w:val="center"/>
              <w:rPr>
                <w:rFonts w:ascii="黑体" w:hAnsi="黑体" w:eastAsia="黑体" w:cs="黑体"/>
                <w:kern w:val="0"/>
              </w:rPr>
            </w:pPr>
            <w:r>
              <w:rPr>
                <w:rFonts w:hint="eastAsia" w:ascii="黑体" w:hAnsi="黑体" w:eastAsia="黑体" w:cs="黑体"/>
                <w:kern w:val="0"/>
              </w:rPr>
              <w:t>得分</w:t>
            </w:r>
          </w:p>
        </w:tc>
      </w:tr>
      <w:tr w14:paraId="54C2882F">
        <w:tblPrEx>
          <w:tblCellMar>
            <w:top w:w="0" w:type="dxa"/>
            <w:left w:w="108" w:type="dxa"/>
            <w:bottom w:w="0" w:type="dxa"/>
            <w:right w:w="108" w:type="dxa"/>
          </w:tblCellMar>
        </w:tblPrEx>
        <w:trPr>
          <w:trHeight w:val="463" w:hRule="atLeast"/>
          <w:tblHeader/>
        </w:trPr>
        <w:tc>
          <w:tcPr>
            <w:tcW w:w="1085" w:type="dxa"/>
            <w:gridSpan w:val="2"/>
            <w:tcBorders>
              <w:top w:val="nil"/>
              <w:left w:val="single" w:color="auto" w:sz="4" w:space="0"/>
              <w:bottom w:val="single" w:color="auto" w:sz="4" w:space="0"/>
              <w:right w:val="single" w:color="auto" w:sz="4" w:space="0"/>
            </w:tcBorders>
            <w:vAlign w:val="center"/>
          </w:tcPr>
          <w:p w14:paraId="2261CB46">
            <w:pPr>
              <w:spacing w:line="320" w:lineRule="exact"/>
              <w:jc w:val="center"/>
              <w:rPr>
                <w:rFonts w:ascii="黑体" w:hAnsi="黑体" w:eastAsia="黑体"/>
                <w:kern w:val="0"/>
              </w:rPr>
            </w:pPr>
            <w:r>
              <w:rPr>
                <w:rFonts w:hint="eastAsia" w:ascii="黑体" w:hAnsi="黑体" w:eastAsia="黑体" w:cs="黑体"/>
                <w:kern w:val="0"/>
              </w:rPr>
              <w:t>一级指标</w:t>
            </w:r>
          </w:p>
        </w:tc>
        <w:tc>
          <w:tcPr>
            <w:tcW w:w="1118" w:type="dxa"/>
            <w:gridSpan w:val="2"/>
            <w:tcBorders>
              <w:top w:val="nil"/>
              <w:left w:val="nil"/>
              <w:bottom w:val="single" w:color="auto" w:sz="4" w:space="0"/>
              <w:right w:val="single" w:color="auto" w:sz="4" w:space="0"/>
            </w:tcBorders>
            <w:vAlign w:val="center"/>
          </w:tcPr>
          <w:p w14:paraId="1CC00603">
            <w:pPr>
              <w:spacing w:line="320" w:lineRule="exact"/>
              <w:jc w:val="center"/>
              <w:rPr>
                <w:rFonts w:ascii="黑体" w:hAnsi="黑体" w:eastAsia="黑体"/>
                <w:kern w:val="0"/>
              </w:rPr>
            </w:pPr>
            <w:r>
              <w:rPr>
                <w:rFonts w:hint="eastAsia" w:ascii="黑体" w:hAnsi="黑体" w:eastAsia="黑体" w:cs="黑体"/>
                <w:kern w:val="0"/>
              </w:rPr>
              <w:t>二级指标</w:t>
            </w:r>
          </w:p>
        </w:tc>
        <w:tc>
          <w:tcPr>
            <w:tcW w:w="1272" w:type="dxa"/>
            <w:gridSpan w:val="2"/>
            <w:tcBorders>
              <w:top w:val="nil"/>
              <w:left w:val="nil"/>
              <w:bottom w:val="single" w:color="auto" w:sz="4" w:space="0"/>
              <w:right w:val="single" w:color="auto" w:sz="4" w:space="0"/>
            </w:tcBorders>
            <w:vAlign w:val="center"/>
          </w:tcPr>
          <w:p w14:paraId="0DB362CE">
            <w:pPr>
              <w:spacing w:line="320" w:lineRule="exact"/>
              <w:jc w:val="center"/>
              <w:rPr>
                <w:rFonts w:ascii="黑体" w:hAnsi="黑体" w:eastAsia="黑体"/>
                <w:kern w:val="0"/>
              </w:rPr>
            </w:pPr>
            <w:r>
              <w:rPr>
                <w:rFonts w:hint="eastAsia" w:ascii="黑体" w:hAnsi="黑体" w:eastAsia="黑体" w:cs="黑体"/>
                <w:kern w:val="0"/>
              </w:rPr>
              <w:t>三级指标</w:t>
            </w:r>
          </w:p>
        </w:tc>
        <w:tc>
          <w:tcPr>
            <w:tcW w:w="2551" w:type="dxa"/>
            <w:vMerge w:val="continue"/>
            <w:tcBorders>
              <w:left w:val="nil"/>
              <w:right w:val="single" w:color="auto" w:sz="4" w:space="0"/>
            </w:tcBorders>
            <w:vAlign w:val="center"/>
          </w:tcPr>
          <w:p w14:paraId="35E237C7">
            <w:pPr>
              <w:spacing w:line="320" w:lineRule="exact"/>
              <w:jc w:val="center"/>
              <w:rPr>
                <w:rFonts w:ascii="黑体" w:hAnsi="黑体" w:eastAsia="黑体"/>
                <w:kern w:val="0"/>
                <w:sz w:val="15"/>
                <w:szCs w:val="15"/>
              </w:rPr>
            </w:pPr>
          </w:p>
        </w:tc>
        <w:tc>
          <w:tcPr>
            <w:tcW w:w="7371" w:type="dxa"/>
            <w:vMerge w:val="continue"/>
            <w:tcBorders>
              <w:left w:val="nil"/>
              <w:right w:val="single" w:color="auto" w:sz="4" w:space="0"/>
            </w:tcBorders>
            <w:vAlign w:val="center"/>
          </w:tcPr>
          <w:p w14:paraId="428296F3">
            <w:pPr>
              <w:spacing w:line="320" w:lineRule="exact"/>
              <w:jc w:val="center"/>
              <w:rPr>
                <w:rFonts w:ascii="黑体" w:hAnsi="黑体" w:eastAsia="黑体"/>
                <w:kern w:val="0"/>
                <w:sz w:val="15"/>
                <w:szCs w:val="15"/>
              </w:rPr>
            </w:pPr>
          </w:p>
        </w:tc>
        <w:tc>
          <w:tcPr>
            <w:tcW w:w="851" w:type="dxa"/>
            <w:vMerge w:val="continue"/>
            <w:tcBorders>
              <w:left w:val="nil"/>
              <w:right w:val="single" w:color="auto" w:sz="4" w:space="0"/>
            </w:tcBorders>
            <w:vAlign w:val="center"/>
          </w:tcPr>
          <w:p w14:paraId="26E5B0F6">
            <w:pPr>
              <w:spacing w:line="320" w:lineRule="exact"/>
              <w:jc w:val="center"/>
              <w:rPr>
                <w:rFonts w:ascii="黑体" w:hAnsi="黑体" w:eastAsia="黑体"/>
                <w:kern w:val="0"/>
                <w:sz w:val="15"/>
                <w:szCs w:val="15"/>
              </w:rPr>
            </w:pPr>
          </w:p>
        </w:tc>
      </w:tr>
      <w:tr w14:paraId="2A9F3E09">
        <w:tblPrEx>
          <w:tblCellMar>
            <w:top w:w="0" w:type="dxa"/>
            <w:left w:w="108" w:type="dxa"/>
            <w:bottom w:w="0" w:type="dxa"/>
            <w:right w:w="108" w:type="dxa"/>
          </w:tblCellMar>
        </w:tblPrEx>
        <w:trPr>
          <w:trHeight w:val="180" w:hRule="atLeast"/>
          <w:tblHeader/>
        </w:trPr>
        <w:tc>
          <w:tcPr>
            <w:tcW w:w="577" w:type="dxa"/>
            <w:tcBorders>
              <w:top w:val="nil"/>
              <w:left w:val="single" w:color="auto" w:sz="4" w:space="0"/>
              <w:bottom w:val="single" w:color="auto" w:sz="4" w:space="0"/>
              <w:right w:val="single" w:color="auto" w:sz="4" w:space="0"/>
            </w:tcBorders>
            <w:vAlign w:val="center"/>
          </w:tcPr>
          <w:p w14:paraId="45EF6377">
            <w:pPr>
              <w:spacing w:line="320" w:lineRule="exact"/>
              <w:jc w:val="center"/>
              <w:rPr>
                <w:rFonts w:ascii="黑体" w:hAnsi="黑体" w:eastAsia="黑体"/>
                <w:kern w:val="0"/>
              </w:rPr>
            </w:pPr>
            <w:r>
              <w:rPr>
                <w:rFonts w:hint="eastAsia" w:ascii="黑体" w:hAnsi="黑体" w:eastAsia="黑体" w:cs="黑体"/>
                <w:kern w:val="0"/>
              </w:rPr>
              <w:t>名称</w:t>
            </w:r>
          </w:p>
        </w:tc>
        <w:tc>
          <w:tcPr>
            <w:tcW w:w="508" w:type="dxa"/>
            <w:tcBorders>
              <w:top w:val="nil"/>
              <w:left w:val="nil"/>
              <w:bottom w:val="single" w:color="auto" w:sz="4" w:space="0"/>
              <w:right w:val="single" w:color="auto" w:sz="4" w:space="0"/>
            </w:tcBorders>
            <w:vAlign w:val="center"/>
          </w:tcPr>
          <w:p w14:paraId="0BC7B7C2">
            <w:pPr>
              <w:spacing w:line="320" w:lineRule="exact"/>
              <w:jc w:val="center"/>
              <w:rPr>
                <w:rFonts w:ascii="黑体" w:hAnsi="黑体" w:eastAsia="黑体"/>
                <w:kern w:val="0"/>
              </w:rPr>
            </w:pPr>
            <w:r>
              <w:rPr>
                <w:rFonts w:hint="eastAsia" w:ascii="黑体" w:hAnsi="黑体" w:eastAsia="黑体" w:cs="黑体"/>
                <w:kern w:val="0"/>
              </w:rPr>
              <w:t>参考分值</w:t>
            </w:r>
          </w:p>
        </w:tc>
        <w:tc>
          <w:tcPr>
            <w:tcW w:w="547" w:type="dxa"/>
            <w:tcBorders>
              <w:top w:val="nil"/>
              <w:left w:val="nil"/>
              <w:bottom w:val="single" w:color="auto" w:sz="4" w:space="0"/>
              <w:right w:val="single" w:color="auto" w:sz="4" w:space="0"/>
            </w:tcBorders>
            <w:vAlign w:val="center"/>
          </w:tcPr>
          <w:p w14:paraId="07E133B2">
            <w:pPr>
              <w:spacing w:line="320" w:lineRule="exact"/>
              <w:jc w:val="center"/>
              <w:rPr>
                <w:rFonts w:ascii="黑体" w:hAnsi="黑体" w:eastAsia="黑体"/>
                <w:kern w:val="0"/>
              </w:rPr>
            </w:pPr>
            <w:r>
              <w:rPr>
                <w:rFonts w:hint="eastAsia" w:ascii="黑体" w:hAnsi="黑体" w:eastAsia="黑体" w:cs="黑体"/>
                <w:kern w:val="0"/>
              </w:rPr>
              <w:t>名称</w:t>
            </w:r>
          </w:p>
        </w:tc>
        <w:tc>
          <w:tcPr>
            <w:tcW w:w="571" w:type="dxa"/>
            <w:tcBorders>
              <w:top w:val="nil"/>
              <w:left w:val="nil"/>
              <w:bottom w:val="single" w:color="auto" w:sz="4" w:space="0"/>
              <w:right w:val="single" w:color="auto" w:sz="4" w:space="0"/>
            </w:tcBorders>
            <w:vAlign w:val="center"/>
          </w:tcPr>
          <w:p w14:paraId="6588D934">
            <w:pPr>
              <w:spacing w:line="320" w:lineRule="exact"/>
              <w:jc w:val="center"/>
              <w:rPr>
                <w:rFonts w:ascii="黑体" w:hAnsi="黑体" w:eastAsia="黑体"/>
                <w:kern w:val="0"/>
              </w:rPr>
            </w:pPr>
            <w:r>
              <w:rPr>
                <w:rFonts w:hint="eastAsia" w:ascii="黑体" w:hAnsi="黑体" w:eastAsia="黑体" w:cs="黑体"/>
                <w:kern w:val="0"/>
              </w:rPr>
              <w:t>参考分值</w:t>
            </w:r>
          </w:p>
        </w:tc>
        <w:tc>
          <w:tcPr>
            <w:tcW w:w="705" w:type="dxa"/>
            <w:tcBorders>
              <w:top w:val="nil"/>
              <w:left w:val="nil"/>
              <w:bottom w:val="single" w:color="auto" w:sz="4" w:space="0"/>
              <w:right w:val="single" w:color="auto" w:sz="4" w:space="0"/>
            </w:tcBorders>
            <w:vAlign w:val="center"/>
          </w:tcPr>
          <w:p w14:paraId="4E0179CE">
            <w:pPr>
              <w:spacing w:line="320" w:lineRule="exact"/>
              <w:jc w:val="center"/>
              <w:rPr>
                <w:rFonts w:ascii="黑体" w:hAnsi="黑体" w:eastAsia="黑体"/>
                <w:kern w:val="0"/>
              </w:rPr>
            </w:pPr>
            <w:r>
              <w:rPr>
                <w:rFonts w:hint="eastAsia" w:ascii="黑体" w:hAnsi="黑体" w:eastAsia="黑体" w:cs="黑体"/>
                <w:kern w:val="0"/>
              </w:rPr>
              <w:t>名称</w:t>
            </w:r>
          </w:p>
        </w:tc>
        <w:tc>
          <w:tcPr>
            <w:tcW w:w="567" w:type="dxa"/>
            <w:tcBorders>
              <w:top w:val="nil"/>
              <w:left w:val="nil"/>
              <w:bottom w:val="single" w:color="auto" w:sz="4" w:space="0"/>
              <w:right w:val="single" w:color="auto" w:sz="4" w:space="0"/>
            </w:tcBorders>
            <w:vAlign w:val="center"/>
          </w:tcPr>
          <w:p w14:paraId="29AAAC7A">
            <w:pPr>
              <w:spacing w:line="320" w:lineRule="exact"/>
              <w:jc w:val="center"/>
              <w:rPr>
                <w:rFonts w:ascii="黑体" w:hAnsi="黑体" w:eastAsia="黑体"/>
                <w:kern w:val="0"/>
              </w:rPr>
            </w:pPr>
            <w:r>
              <w:rPr>
                <w:rFonts w:hint="eastAsia" w:ascii="黑体" w:hAnsi="黑体" w:eastAsia="黑体" w:cs="黑体"/>
                <w:kern w:val="0"/>
              </w:rPr>
              <w:t>参考分值</w:t>
            </w:r>
          </w:p>
        </w:tc>
        <w:tc>
          <w:tcPr>
            <w:tcW w:w="2551" w:type="dxa"/>
            <w:vMerge w:val="continue"/>
            <w:tcBorders>
              <w:left w:val="nil"/>
              <w:bottom w:val="single" w:color="auto" w:sz="4" w:space="0"/>
              <w:right w:val="single" w:color="auto" w:sz="4" w:space="0"/>
            </w:tcBorders>
            <w:vAlign w:val="center"/>
          </w:tcPr>
          <w:p w14:paraId="13A79997">
            <w:pPr>
              <w:spacing w:line="320" w:lineRule="exact"/>
              <w:jc w:val="center"/>
              <w:rPr>
                <w:rFonts w:ascii="黑体" w:hAnsi="黑体" w:eastAsia="黑体"/>
                <w:kern w:val="0"/>
                <w:sz w:val="15"/>
                <w:szCs w:val="15"/>
              </w:rPr>
            </w:pPr>
          </w:p>
        </w:tc>
        <w:tc>
          <w:tcPr>
            <w:tcW w:w="7371" w:type="dxa"/>
            <w:vMerge w:val="continue"/>
            <w:tcBorders>
              <w:left w:val="nil"/>
              <w:bottom w:val="single" w:color="auto" w:sz="4" w:space="0"/>
              <w:right w:val="single" w:color="auto" w:sz="4" w:space="0"/>
            </w:tcBorders>
            <w:vAlign w:val="center"/>
          </w:tcPr>
          <w:p w14:paraId="1FBC0475">
            <w:pPr>
              <w:spacing w:line="320" w:lineRule="exact"/>
              <w:jc w:val="center"/>
              <w:rPr>
                <w:rFonts w:ascii="黑体" w:hAnsi="黑体" w:eastAsia="黑体"/>
                <w:kern w:val="0"/>
                <w:sz w:val="15"/>
                <w:szCs w:val="15"/>
              </w:rPr>
            </w:pPr>
          </w:p>
        </w:tc>
        <w:tc>
          <w:tcPr>
            <w:tcW w:w="851" w:type="dxa"/>
            <w:vMerge w:val="continue"/>
            <w:tcBorders>
              <w:left w:val="nil"/>
              <w:bottom w:val="single" w:color="auto" w:sz="4" w:space="0"/>
              <w:right w:val="single" w:color="auto" w:sz="4" w:space="0"/>
            </w:tcBorders>
            <w:vAlign w:val="center"/>
          </w:tcPr>
          <w:p w14:paraId="0B03C4BD">
            <w:pPr>
              <w:spacing w:line="320" w:lineRule="exact"/>
              <w:jc w:val="center"/>
              <w:rPr>
                <w:rFonts w:ascii="黑体" w:hAnsi="黑体" w:eastAsia="黑体"/>
                <w:kern w:val="0"/>
                <w:sz w:val="15"/>
                <w:szCs w:val="15"/>
              </w:rPr>
            </w:pPr>
          </w:p>
        </w:tc>
      </w:tr>
      <w:tr w14:paraId="691116D0">
        <w:tblPrEx>
          <w:tblCellMar>
            <w:top w:w="0" w:type="dxa"/>
            <w:left w:w="108" w:type="dxa"/>
            <w:bottom w:w="0" w:type="dxa"/>
            <w:right w:w="108" w:type="dxa"/>
          </w:tblCellMar>
        </w:tblPrEx>
        <w:trPr>
          <w:trHeight w:val="2643" w:hRule="atLeast"/>
        </w:trPr>
        <w:tc>
          <w:tcPr>
            <w:tcW w:w="577" w:type="dxa"/>
            <w:vMerge w:val="restart"/>
            <w:tcBorders>
              <w:top w:val="nil"/>
              <w:left w:val="single" w:color="auto" w:sz="4" w:space="0"/>
              <w:bottom w:val="single" w:color="auto" w:sz="4" w:space="0"/>
              <w:right w:val="single" w:color="auto" w:sz="4" w:space="0"/>
            </w:tcBorders>
            <w:vAlign w:val="center"/>
          </w:tcPr>
          <w:p w14:paraId="3A1B9BAA">
            <w:pPr>
              <w:spacing w:line="320" w:lineRule="exact"/>
              <w:rPr>
                <w:rFonts w:ascii="宋体"/>
                <w:kern w:val="0"/>
              </w:rPr>
            </w:pPr>
            <w:r>
              <w:rPr>
                <w:rFonts w:hint="eastAsia" w:ascii="宋体" w:hAnsi="宋体" w:cs="宋体"/>
                <w:kern w:val="0"/>
              </w:rPr>
              <w:t>部门决策</w:t>
            </w:r>
          </w:p>
        </w:tc>
        <w:tc>
          <w:tcPr>
            <w:tcW w:w="508" w:type="dxa"/>
            <w:vMerge w:val="restart"/>
            <w:tcBorders>
              <w:top w:val="nil"/>
              <w:left w:val="single" w:color="auto" w:sz="4" w:space="0"/>
              <w:bottom w:val="single" w:color="auto" w:sz="4" w:space="0"/>
              <w:right w:val="single" w:color="auto" w:sz="4" w:space="0"/>
            </w:tcBorders>
            <w:vAlign w:val="center"/>
          </w:tcPr>
          <w:p w14:paraId="502F8BAB">
            <w:pPr>
              <w:spacing w:line="320" w:lineRule="exact"/>
              <w:rPr>
                <w:rFonts w:ascii="宋体"/>
                <w:kern w:val="0"/>
              </w:rPr>
            </w:pPr>
            <w:r>
              <w:rPr>
                <w:rFonts w:ascii="宋体" w:hAnsi="宋体" w:cs="宋体"/>
                <w:kern w:val="0"/>
              </w:rPr>
              <w:t>20</w:t>
            </w:r>
          </w:p>
        </w:tc>
        <w:tc>
          <w:tcPr>
            <w:tcW w:w="547" w:type="dxa"/>
            <w:vMerge w:val="restart"/>
            <w:tcBorders>
              <w:top w:val="nil"/>
              <w:left w:val="single" w:color="auto" w:sz="4" w:space="0"/>
              <w:bottom w:val="single" w:color="auto" w:sz="4" w:space="0"/>
              <w:right w:val="single" w:color="auto" w:sz="4" w:space="0"/>
            </w:tcBorders>
            <w:vAlign w:val="center"/>
          </w:tcPr>
          <w:p w14:paraId="4B0E00D4">
            <w:pPr>
              <w:spacing w:line="320" w:lineRule="exact"/>
              <w:rPr>
                <w:rFonts w:ascii="宋体"/>
                <w:kern w:val="0"/>
              </w:rPr>
            </w:pPr>
            <w:r>
              <w:rPr>
                <w:rFonts w:hint="eastAsia" w:ascii="宋体" w:hAnsi="宋体" w:cs="宋体"/>
                <w:kern w:val="0"/>
              </w:rPr>
              <w:t>预算编制</w:t>
            </w:r>
          </w:p>
        </w:tc>
        <w:tc>
          <w:tcPr>
            <w:tcW w:w="571" w:type="dxa"/>
            <w:vMerge w:val="restart"/>
            <w:tcBorders>
              <w:top w:val="nil"/>
              <w:left w:val="single" w:color="auto" w:sz="4" w:space="0"/>
              <w:bottom w:val="single" w:color="auto" w:sz="4" w:space="0"/>
              <w:right w:val="single" w:color="auto" w:sz="4" w:space="0"/>
            </w:tcBorders>
            <w:vAlign w:val="center"/>
          </w:tcPr>
          <w:p w14:paraId="73429975">
            <w:pPr>
              <w:spacing w:line="300" w:lineRule="exact"/>
              <w:jc w:val="center"/>
              <w:rPr>
                <w:rFonts w:ascii="宋体"/>
                <w:kern w:val="0"/>
              </w:rPr>
            </w:pPr>
            <w:r>
              <w:rPr>
                <w:rFonts w:ascii="宋体" w:hAnsi="宋体" w:cs="宋体"/>
                <w:kern w:val="0"/>
              </w:rPr>
              <w:t>10</w:t>
            </w:r>
          </w:p>
        </w:tc>
        <w:tc>
          <w:tcPr>
            <w:tcW w:w="705" w:type="dxa"/>
            <w:tcBorders>
              <w:top w:val="nil"/>
              <w:left w:val="nil"/>
              <w:bottom w:val="single" w:color="auto" w:sz="4" w:space="0"/>
              <w:right w:val="single" w:color="auto" w:sz="4" w:space="0"/>
            </w:tcBorders>
            <w:vAlign w:val="center"/>
          </w:tcPr>
          <w:p w14:paraId="5D06128A">
            <w:pPr>
              <w:spacing w:line="300" w:lineRule="exact"/>
              <w:rPr>
                <w:rFonts w:ascii="宋体"/>
                <w:kern w:val="0"/>
              </w:rPr>
            </w:pPr>
            <w:r>
              <w:rPr>
                <w:rFonts w:hint="eastAsia" w:ascii="宋体" w:hAnsi="宋体" w:cs="宋体"/>
                <w:kern w:val="0"/>
              </w:rPr>
              <w:t>预算编制合理性</w:t>
            </w:r>
          </w:p>
        </w:tc>
        <w:tc>
          <w:tcPr>
            <w:tcW w:w="567" w:type="dxa"/>
            <w:tcBorders>
              <w:top w:val="nil"/>
              <w:left w:val="nil"/>
              <w:bottom w:val="single" w:color="auto" w:sz="4" w:space="0"/>
              <w:right w:val="single" w:color="auto" w:sz="4" w:space="0"/>
            </w:tcBorders>
            <w:vAlign w:val="center"/>
          </w:tcPr>
          <w:p w14:paraId="4D022DD8">
            <w:pPr>
              <w:spacing w:line="300" w:lineRule="exact"/>
              <w:jc w:val="center"/>
              <w:rPr>
                <w:rFonts w:ascii="宋体"/>
                <w:kern w:val="0"/>
              </w:rPr>
            </w:pPr>
            <w:r>
              <w:rPr>
                <w:rFonts w:ascii="宋体" w:hAnsi="宋体" w:cs="宋体"/>
                <w:kern w:val="0"/>
              </w:rPr>
              <w:t>5</w:t>
            </w:r>
          </w:p>
        </w:tc>
        <w:tc>
          <w:tcPr>
            <w:tcW w:w="2551" w:type="dxa"/>
            <w:tcBorders>
              <w:top w:val="nil"/>
              <w:left w:val="nil"/>
              <w:bottom w:val="single" w:color="auto" w:sz="4" w:space="0"/>
              <w:right w:val="single" w:color="auto" w:sz="4" w:space="0"/>
            </w:tcBorders>
            <w:vAlign w:val="center"/>
          </w:tcPr>
          <w:p w14:paraId="67A59F04">
            <w:pPr>
              <w:spacing w:line="300" w:lineRule="exact"/>
              <w:rPr>
                <w:rFonts w:ascii="宋体"/>
                <w:kern w:val="0"/>
              </w:rPr>
            </w:pPr>
            <w:r>
              <w:rPr>
                <w:rFonts w:hint="eastAsia" w:ascii="宋体" w:hAnsi="宋体" w:cs="宋体"/>
                <w:kern w:val="0"/>
              </w:rPr>
              <w:t>部门（单位）预算的合理性，即是否符合我局职责、是否符合区委区政府的方针政策和工作要求，资金有无根据项目的轻重缓急进行分配。</w:t>
            </w:r>
          </w:p>
        </w:tc>
        <w:tc>
          <w:tcPr>
            <w:tcW w:w="7371" w:type="dxa"/>
            <w:tcBorders>
              <w:top w:val="nil"/>
              <w:left w:val="nil"/>
              <w:bottom w:val="single" w:color="auto" w:sz="4" w:space="0"/>
              <w:right w:val="single" w:color="auto" w:sz="4" w:space="0"/>
            </w:tcBorders>
          </w:tcPr>
          <w:p w14:paraId="57D25DB4">
            <w:pPr>
              <w:spacing w:line="300" w:lineRule="exact"/>
              <w:rPr>
                <w:rFonts w:ascii="宋体" w:hAnsi="宋体" w:cs="宋体"/>
                <w:kern w:val="0"/>
              </w:rPr>
            </w:pPr>
            <w:r>
              <w:rPr>
                <w:rFonts w:ascii="宋体" w:hAnsi="宋体" w:cs="宋体"/>
                <w:kern w:val="0"/>
              </w:rPr>
              <w:t xml:space="preserve">   1.</w:t>
            </w:r>
            <w:r>
              <w:rPr>
                <w:rFonts w:hint="eastAsia" w:ascii="宋体" w:hAnsi="宋体" w:cs="宋体"/>
                <w:kern w:val="0"/>
              </w:rPr>
              <w:t>部门预算编制、分配符合我局职责、符合区委区政府方针政策和工作要求（</w:t>
            </w:r>
            <w:r>
              <w:rPr>
                <w:rFonts w:ascii="宋体" w:hAnsi="宋体" w:cs="宋体"/>
                <w:kern w:val="0"/>
              </w:rPr>
              <w:t>1</w:t>
            </w:r>
            <w:r>
              <w:rPr>
                <w:rFonts w:hint="eastAsia" w:ascii="宋体" w:hAnsi="宋体" w:cs="宋体"/>
                <w:kern w:val="0"/>
              </w:rPr>
              <w:t>分）；</w:t>
            </w:r>
          </w:p>
          <w:p w14:paraId="3C61A8E5">
            <w:pPr>
              <w:spacing w:line="300" w:lineRule="exact"/>
              <w:rPr>
                <w:rFonts w:ascii="宋体" w:hAnsi="宋体" w:cs="宋体"/>
                <w:kern w:val="0"/>
              </w:rPr>
            </w:pPr>
            <w:r>
              <w:rPr>
                <w:rFonts w:ascii="宋体" w:hAnsi="宋体" w:cs="宋体"/>
                <w:kern w:val="0"/>
              </w:rPr>
              <w:t xml:space="preserve">   2.</w:t>
            </w:r>
            <w:r>
              <w:rPr>
                <w:rFonts w:hint="eastAsia" w:ascii="宋体" w:hAnsi="宋体" w:cs="宋体"/>
                <w:kern w:val="0"/>
              </w:rPr>
              <w:t>部门预算资金能根据年度工作重点，在不同项目、不同用途之间合理分配（</w:t>
            </w:r>
            <w:r>
              <w:rPr>
                <w:rFonts w:ascii="宋体" w:hAnsi="宋体" w:cs="宋体"/>
                <w:kern w:val="0"/>
              </w:rPr>
              <w:t>1</w:t>
            </w:r>
            <w:r>
              <w:rPr>
                <w:rFonts w:hint="eastAsia" w:ascii="宋体" w:hAnsi="宋体" w:cs="宋体"/>
                <w:kern w:val="0"/>
              </w:rPr>
              <w:t>分）；</w:t>
            </w:r>
          </w:p>
          <w:p w14:paraId="09991F41">
            <w:pPr>
              <w:spacing w:line="300" w:lineRule="exact"/>
              <w:rPr>
                <w:rFonts w:ascii="宋体" w:hAnsi="宋体" w:cs="宋体"/>
                <w:kern w:val="0"/>
              </w:rPr>
            </w:pPr>
            <w:r>
              <w:rPr>
                <w:rFonts w:ascii="宋体" w:hAnsi="宋体" w:cs="宋体"/>
                <w:kern w:val="0"/>
              </w:rPr>
              <w:t xml:space="preserve">   3.</w:t>
            </w:r>
            <w:r>
              <w:rPr>
                <w:rFonts w:hint="eastAsia" w:ascii="宋体" w:hAnsi="宋体" w:cs="宋体"/>
                <w:kern w:val="0"/>
              </w:rPr>
              <w:t>专项资金预算编制细化程度合理，未出现因年中调剂导致部门预决算差异过大问题（</w:t>
            </w:r>
            <w:r>
              <w:rPr>
                <w:rFonts w:ascii="宋体" w:hAnsi="宋体" w:cs="宋体"/>
                <w:kern w:val="0"/>
              </w:rPr>
              <w:t>1</w:t>
            </w:r>
            <w:r>
              <w:rPr>
                <w:rFonts w:hint="eastAsia" w:ascii="宋体" w:hAnsi="宋体" w:cs="宋体"/>
                <w:kern w:val="0"/>
              </w:rPr>
              <w:t>分）；</w:t>
            </w:r>
          </w:p>
          <w:p w14:paraId="5250ADB8">
            <w:pPr>
              <w:spacing w:line="300" w:lineRule="exact"/>
              <w:rPr>
                <w:rFonts w:ascii="宋体" w:hAnsi="宋体" w:cs="宋体"/>
                <w:kern w:val="0"/>
              </w:rPr>
            </w:pPr>
            <w:r>
              <w:rPr>
                <w:rFonts w:ascii="宋体" w:hAnsi="宋体" w:cs="宋体"/>
                <w:kern w:val="0"/>
              </w:rPr>
              <w:t xml:space="preserve">   4.</w:t>
            </w:r>
            <w:r>
              <w:rPr>
                <w:rFonts w:hint="eastAsia" w:ascii="宋体" w:hAnsi="宋体" w:cs="宋体"/>
                <w:kern w:val="0"/>
              </w:rPr>
              <w:t>功能分类和经济分类编制准确，年度中间无大量调剂，未发生项目之间频繁调剂（</w:t>
            </w:r>
            <w:r>
              <w:rPr>
                <w:rFonts w:ascii="宋体" w:hAnsi="宋体" w:cs="宋体"/>
                <w:kern w:val="0"/>
              </w:rPr>
              <w:t>1</w:t>
            </w:r>
            <w:r>
              <w:rPr>
                <w:rFonts w:hint="eastAsia" w:ascii="宋体" w:hAnsi="宋体" w:cs="宋体"/>
                <w:kern w:val="0"/>
              </w:rPr>
              <w:t>分）；</w:t>
            </w:r>
          </w:p>
          <w:p w14:paraId="7C255304">
            <w:pPr>
              <w:spacing w:line="300" w:lineRule="exact"/>
              <w:rPr>
                <w:rFonts w:ascii="宋体"/>
                <w:kern w:val="0"/>
              </w:rPr>
            </w:pPr>
            <w:r>
              <w:rPr>
                <w:rFonts w:ascii="宋体" w:hAnsi="宋体" w:cs="宋体"/>
                <w:kern w:val="0"/>
              </w:rPr>
              <w:t xml:space="preserve">   5.</w:t>
            </w:r>
            <w:r>
              <w:rPr>
                <w:rFonts w:hint="eastAsia" w:ascii="宋体" w:hAnsi="宋体" w:cs="宋体"/>
                <w:kern w:val="0"/>
              </w:rPr>
              <w:t>部门预算分配不固化，能根据实际情况合理调整，不存在项目支出进度慢、完成率低、绩效较差，但连年持续安排预算等不合理的情况（</w:t>
            </w:r>
            <w:r>
              <w:rPr>
                <w:rFonts w:ascii="宋体" w:hAnsi="宋体" w:cs="宋体"/>
                <w:kern w:val="0"/>
              </w:rPr>
              <w:t>1</w:t>
            </w:r>
            <w:r>
              <w:rPr>
                <w:rFonts w:hint="eastAsia" w:ascii="宋体" w:hAnsi="宋体" w:cs="宋体"/>
                <w:kern w:val="0"/>
              </w:rPr>
              <w:t>分）。</w:t>
            </w:r>
          </w:p>
        </w:tc>
        <w:tc>
          <w:tcPr>
            <w:tcW w:w="851" w:type="dxa"/>
            <w:tcBorders>
              <w:top w:val="nil"/>
              <w:left w:val="nil"/>
              <w:bottom w:val="single" w:color="auto" w:sz="4" w:space="0"/>
              <w:right w:val="single" w:color="auto" w:sz="4" w:space="0"/>
            </w:tcBorders>
            <w:vAlign w:val="center"/>
          </w:tcPr>
          <w:p w14:paraId="3EEEC53A">
            <w:pPr>
              <w:spacing w:line="300" w:lineRule="exact"/>
              <w:jc w:val="center"/>
              <w:rPr>
                <w:rFonts w:ascii="宋体" w:hAnsi="宋体" w:cs="宋体"/>
                <w:kern w:val="0"/>
              </w:rPr>
            </w:pPr>
            <w:r>
              <w:rPr>
                <w:rFonts w:hint="eastAsia" w:ascii="宋体" w:hAnsi="宋体" w:cs="宋体"/>
                <w:kern w:val="0"/>
              </w:rPr>
              <w:t>5</w:t>
            </w:r>
          </w:p>
        </w:tc>
      </w:tr>
      <w:tr w14:paraId="3DFE1BFD">
        <w:tblPrEx>
          <w:tblCellMar>
            <w:top w:w="0" w:type="dxa"/>
            <w:left w:w="108" w:type="dxa"/>
            <w:bottom w:w="0" w:type="dxa"/>
            <w:right w:w="108" w:type="dxa"/>
          </w:tblCellMar>
        </w:tblPrEx>
        <w:trPr>
          <w:trHeight w:val="466" w:hRule="atLeast"/>
        </w:trPr>
        <w:tc>
          <w:tcPr>
            <w:tcW w:w="577" w:type="dxa"/>
            <w:vMerge w:val="continue"/>
            <w:tcBorders>
              <w:top w:val="nil"/>
              <w:left w:val="single" w:color="auto" w:sz="4" w:space="0"/>
              <w:bottom w:val="single" w:color="auto" w:sz="4" w:space="0"/>
              <w:right w:val="single" w:color="auto" w:sz="4" w:space="0"/>
            </w:tcBorders>
            <w:vAlign w:val="center"/>
          </w:tcPr>
          <w:p w14:paraId="4FA5141C">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0B015B41">
            <w:pPr>
              <w:spacing w:line="320" w:lineRule="exact"/>
              <w:rPr>
                <w:rFonts w:ascii="宋体"/>
                <w:kern w:val="0"/>
              </w:rPr>
            </w:pPr>
          </w:p>
        </w:tc>
        <w:tc>
          <w:tcPr>
            <w:tcW w:w="547" w:type="dxa"/>
            <w:vMerge w:val="continue"/>
            <w:tcBorders>
              <w:top w:val="nil"/>
              <w:left w:val="single" w:color="auto" w:sz="4" w:space="0"/>
              <w:bottom w:val="single" w:color="auto" w:sz="4" w:space="0"/>
              <w:right w:val="single" w:color="auto" w:sz="4" w:space="0"/>
            </w:tcBorders>
            <w:vAlign w:val="center"/>
          </w:tcPr>
          <w:p w14:paraId="4E16815D">
            <w:pPr>
              <w:spacing w:line="320" w:lineRule="exact"/>
              <w:rPr>
                <w:rFonts w:ascii="宋体"/>
                <w:kern w:val="0"/>
              </w:rPr>
            </w:pPr>
          </w:p>
        </w:tc>
        <w:tc>
          <w:tcPr>
            <w:tcW w:w="571" w:type="dxa"/>
            <w:vMerge w:val="continue"/>
            <w:tcBorders>
              <w:top w:val="nil"/>
              <w:left w:val="single" w:color="auto" w:sz="4" w:space="0"/>
              <w:bottom w:val="single" w:color="auto" w:sz="4" w:space="0"/>
              <w:right w:val="single" w:color="auto" w:sz="4" w:space="0"/>
            </w:tcBorders>
            <w:vAlign w:val="center"/>
          </w:tcPr>
          <w:p w14:paraId="506DA1D4">
            <w:pPr>
              <w:spacing w:line="300" w:lineRule="exact"/>
              <w:jc w:val="center"/>
              <w:rPr>
                <w:rFonts w:ascii="宋体"/>
                <w:kern w:val="0"/>
              </w:rPr>
            </w:pPr>
          </w:p>
        </w:tc>
        <w:tc>
          <w:tcPr>
            <w:tcW w:w="705" w:type="dxa"/>
            <w:tcBorders>
              <w:top w:val="nil"/>
              <w:left w:val="nil"/>
              <w:bottom w:val="single" w:color="auto" w:sz="4" w:space="0"/>
              <w:right w:val="single" w:color="auto" w:sz="4" w:space="0"/>
            </w:tcBorders>
            <w:vAlign w:val="center"/>
          </w:tcPr>
          <w:p w14:paraId="18E62214">
            <w:pPr>
              <w:spacing w:line="300" w:lineRule="exact"/>
              <w:rPr>
                <w:rFonts w:ascii="宋体"/>
                <w:kern w:val="0"/>
              </w:rPr>
            </w:pPr>
            <w:r>
              <w:rPr>
                <w:rFonts w:hint="eastAsia" w:ascii="宋体" w:hAnsi="宋体" w:cs="宋体"/>
                <w:kern w:val="0"/>
              </w:rPr>
              <w:t>预算编制规范性</w:t>
            </w:r>
          </w:p>
        </w:tc>
        <w:tc>
          <w:tcPr>
            <w:tcW w:w="567" w:type="dxa"/>
            <w:tcBorders>
              <w:top w:val="nil"/>
              <w:left w:val="nil"/>
              <w:bottom w:val="single" w:color="auto" w:sz="4" w:space="0"/>
              <w:right w:val="single" w:color="auto" w:sz="4" w:space="0"/>
            </w:tcBorders>
            <w:vAlign w:val="center"/>
          </w:tcPr>
          <w:p w14:paraId="4FB6077F">
            <w:pPr>
              <w:spacing w:line="300" w:lineRule="exact"/>
              <w:jc w:val="center"/>
              <w:rPr>
                <w:rFonts w:ascii="宋体"/>
                <w:kern w:val="0"/>
              </w:rPr>
            </w:pPr>
            <w:r>
              <w:rPr>
                <w:rFonts w:ascii="宋体" w:hAnsi="宋体" w:cs="宋体"/>
                <w:kern w:val="0"/>
              </w:rPr>
              <w:t>5</w:t>
            </w:r>
          </w:p>
        </w:tc>
        <w:tc>
          <w:tcPr>
            <w:tcW w:w="2551" w:type="dxa"/>
            <w:tcBorders>
              <w:top w:val="nil"/>
              <w:left w:val="nil"/>
              <w:bottom w:val="single" w:color="auto" w:sz="4" w:space="0"/>
              <w:right w:val="single" w:color="auto" w:sz="4" w:space="0"/>
            </w:tcBorders>
            <w:vAlign w:val="center"/>
          </w:tcPr>
          <w:p w14:paraId="154A6FC0">
            <w:pPr>
              <w:spacing w:line="300" w:lineRule="exact"/>
              <w:rPr>
                <w:rFonts w:ascii="宋体"/>
                <w:kern w:val="0"/>
              </w:rPr>
            </w:pPr>
            <w:r>
              <w:rPr>
                <w:rFonts w:hint="eastAsia" w:ascii="宋体" w:hAnsi="宋体" w:cs="宋体"/>
                <w:kern w:val="0"/>
              </w:rPr>
              <w:t>部门（单位）预算编制是否符合财政部门当年度关于预算编制在规范性、完整性、细化程度等方面的原则和要求。</w:t>
            </w:r>
          </w:p>
        </w:tc>
        <w:tc>
          <w:tcPr>
            <w:tcW w:w="7371" w:type="dxa"/>
            <w:tcBorders>
              <w:top w:val="nil"/>
              <w:left w:val="nil"/>
              <w:bottom w:val="single" w:color="auto" w:sz="4" w:space="0"/>
              <w:right w:val="single" w:color="auto" w:sz="4" w:space="0"/>
            </w:tcBorders>
            <w:vAlign w:val="center"/>
          </w:tcPr>
          <w:p w14:paraId="63ADDFB5">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部门（单位）预算编制符合财政部门当年度关于预算编制的各项原则和要求，符合专项资金预算编制、项目库管理、新增项目事前绩效评估等要求（</w:t>
            </w:r>
            <w:r>
              <w:rPr>
                <w:rFonts w:ascii="宋体" w:hAnsi="宋体" w:cs="宋体"/>
                <w:kern w:val="0"/>
              </w:rPr>
              <w:t>5</w:t>
            </w:r>
            <w:r>
              <w:rPr>
                <w:rFonts w:hint="eastAsia" w:ascii="宋体" w:hAnsi="宋体" w:cs="宋体"/>
                <w:kern w:val="0"/>
              </w:rPr>
              <w:t>分）；</w:t>
            </w:r>
          </w:p>
          <w:p w14:paraId="206BFD1F">
            <w:pPr>
              <w:spacing w:line="300" w:lineRule="exact"/>
              <w:ind w:firstLine="420" w:firstLineChars="200"/>
              <w:rPr>
                <w:rFonts w:ascii="宋体" w:hAnsi="宋体" w:cs="宋体"/>
                <w:kern w:val="0"/>
              </w:rPr>
            </w:pPr>
            <w:r>
              <w:rPr>
                <w:rFonts w:ascii="宋体" w:hAnsi="宋体" w:cs="宋体"/>
                <w:kern w:val="0"/>
              </w:rPr>
              <w:t>2.</w:t>
            </w:r>
            <w:r>
              <w:rPr>
                <w:rFonts w:hint="eastAsia" w:ascii="宋体" w:hAnsi="宋体" w:cs="宋体"/>
                <w:kern w:val="0"/>
              </w:rPr>
              <w:t>发现一项不符合的扣</w:t>
            </w:r>
            <w:r>
              <w:rPr>
                <w:rFonts w:ascii="宋体" w:hAnsi="宋体" w:cs="宋体"/>
                <w:kern w:val="0"/>
              </w:rPr>
              <w:t>1</w:t>
            </w:r>
            <w:r>
              <w:rPr>
                <w:rFonts w:hint="eastAsia" w:ascii="宋体" w:hAnsi="宋体" w:cs="宋体"/>
                <w:kern w:val="0"/>
              </w:rPr>
              <w:t>分，扣完为止。</w:t>
            </w:r>
          </w:p>
          <w:p w14:paraId="69DA43FC">
            <w:pPr>
              <w:spacing w:line="300" w:lineRule="exact"/>
              <w:rPr>
                <w:rFonts w:ascii="宋体"/>
                <w:kern w:val="0"/>
              </w:rPr>
            </w:pPr>
            <w:r>
              <w:rPr>
                <w:rFonts w:hint="eastAsia" w:ascii="宋体" w:hAnsi="宋体" w:cs="宋体"/>
                <w:kern w:val="0"/>
              </w:rPr>
              <w:t>本指标需对照相应年度由财政部门印发的部门预算编制工作方案、通知和有关制度文件，根据实际情况评分。</w:t>
            </w:r>
          </w:p>
        </w:tc>
        <w:tc>
          <w:tcPr>
            <w:tcW w:w="851" w:type="dxa"/>
            <w:tcBorders>
              <w:top w:val="nil"/>
              <w:left w:val="nil"/>
              <w:bottom w:val="single" w:color="auto" w:sz="4" w:space="0"/>
              <w:right w:val="single" w:color="auto" w:sz="4" w:space="0"/>
            </w:tcBorders>
            <w:vAlign w:val="center"/>
          </w:tcPr>
          <w:p w14:paraId="756EFD73">
            <w:pPr>
              <w:spacing w:line="300" w:lineRule="exact"/>
              <w:jc w:val="center"/>
              <w:rPr>
                <w:rFonts w:ascii="宋体" w:hAnsi="宋体" w:cs="宋体"/>
                <w:kern w:val="0"/>
              </w:rPr>
            </w:pPr>
            <w:r>
              <w:rPr>
                <w:rFonts w:hint="eastAsia" w:ascii="宋体" w:hAnsi="宋体" w:cs="宋体"/>
                <w:kern w:val="0"/>
              </w:rPr>
              <w:t>5</w:t>
            </w:r>
          </w:p>
        </w:tc>
      </w:tr>
      <w:tr w14:paraId="192AB065">
        <w:tblPrEx>
          <w:tblCellMar>
            <w:top w:w="0" w:type="dxa"/>
            <w:left w:w="108" w:type="dxa"/>
            <w:bottom w:w="0" w:type="dxa"/>
            <w:right w:w="108" w:type="dxa"/>
          </w:tblCellMar>
        </w:tblPrEx>
        <w:trPr>
          <w:trHeight w:val="1621" w:hRule="atLeast"/>
        </w:trPr>
        <w:tc>
          <w:tcPr>
            <w:tcW w:w="577" w:type="dxa"/>
            <w:vMerge w:val="continue"/>
            <w:tcBorders>
              <w:top w:val="nil"/>
              <w:left w:val="single" w:color="auto" w:sz="4" w:space="0"/>
              <w:bottom w:val="single" w:color="auto" w:sz="4" w:space="0"/>
              <w:right w:val="single" w:color="auto" w:sz="4" w:space="0"/>
            </w:tcBorders>
            <w:vAlign w:val="center"/>
          </w:tcPr>
          <w:p w14:paraId="58849273">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70F321F0">
            <w:pPr>
              <w:spacing w:line="320" w:lineRule="exact"/>
              <w:rPr>
                <w:rFonts w:ascii="宋体"/>
                <w:kern w:val="0"/>
              </w:rPr>
            </w:pPr>
          </w:p>
        </w:tc>
        <w:tc>
          <w:tcPr>
            <w:tcW w:w="547" w:type="dxa"/>
            <w:vMerge w:val="restart"/>
            <w:tcBorders>
              <w:top w:val="nil"/>
              <w:left w:val="single" w:color="auto" w:sz="4" w:space="0"/>
              <w:bottom w:val="single" w:color="auto" w:sz="4" w:space="0"/>
              <w:right w:val="single" w:color="auto" w:sz="4" w:space="0"/>
            </w:tcBorders>
            <w:vAlign w:val="center"/>
          </w:tcPr>
          <w:p w14:paraId="3A69DE10">
            <w:pPr>
              <w:spacing w:line="320" w:lineRule="exact"/>
              <w:rPr>
                <w:rFonts w:ascii="宋体"/>
                <w:kern w:val="0"/>
              </w:rPr>
            </w:pPr>
            <w:r>
              <w:rPr>
                <w:rFonts w:hint="eastAsia" w:ascii="宋体" w:hAnsi="宋体" w:cs="宋体"/>
                <w:kern w:val="0"/>
              </w:rPr>
              <w:t>目标设置</w:t>
            </w:r>
          </w:p>
        </w:tc>
        <w:tc>
          <w:tcPr>
            <w:tcW w:w="571" w:type="dxa"/>
            <w:vMerge w:val="restart"/>
            <w:tcBorders>
              <w:top w:val="nil"/>
              <w:left w:val="single" w:color="auto" w:sz="4" w:space="0"/>
              <w:bottom w:val="single" w:color="auto" w:sz="4" w:space="0"/>
              <w:right w:val="single" w:color="auto" w:sz="4" w:space="0"/>
            </w:tcBorders>
            <w:vAlign w:val="center"/>
          </w:tcPr>
          <w:p w14:paraId="0A78D89E">
            <w:pPr>
              <w:spacing w:line="320" w:lineRule="exact"/>
              <w:jc w:val="center"/>
              <w:rPr>
                <w:rFonts w:ascii="宋体"/>
                <w:kern w:val="0"/>
              </w:rPr>
            </w:pPr>
            <w:r>
              <w:rPr>
                <w:rFonts w:ascii="宋体" w:hAnsi="宋体" w:cs="宋体"/>
                <w:kern w:val="0"/>
              </w:rPr>
              <w:t>10</w:t>
            </w:r>
          </w:p>
        </w:tc>
        <w:tc>
          <w:tcPr>
            <w:tcW w:w="705" w:type="dxa"/>
            <w:tcBorders>
              <w:top w:val="nil"/>
              <w:left w:val="nil"/>
              <w:bottom w:val="single" w:color="auto" w:sz="4" w:space="0"/>
              <w:right w:val="single" w:color="auto" w:sz="4" w:space="0"/>
            </w:tcBorders>
            <w:vAlign w:val="center"/>
          </w:tcPr>
          <w:p w14:paraId="591ADFD7">
            <w:pPr>
              <w:spacing w:line="320" w:lineRule="exact"/>
              <w:rPr>
                <w:rFonts w:ascii="宋体"/>
                <w:kern w:val="0"/>
              </w:rPr>
            </w:pPr>
            <w:r>
              <w:rPr>
                <w:rFonts w:hint="eastAsia" w:ascii="宋体" w:hAnsi="宋体" w:cs="宋体"/>
                <w:kern w:val="0"/>
              </w:rPr>
              <w:t>绩效目标完整性</w:t>
            </w:r>
          </w:p>
        </w:tc>
        <w:tc>
          <w:tcPr>
            <w:tcW w:w="567" w:type="dxa"/>
            <w:tcBorders>
              <w:top w:val="nil"/>
              <w:left w:val="nil"/>
              <w:bottom w:val="single" w:color="auto" w:sz="4" w:space="0"/>
              <w:right w:val="single" w:color="auto" w:sz="4" w:space="0"/>
            </w:tcBorders>
            <w:vAlign w:val="center"/>
          </w:tcPr>
          <w:p w14:paraId="770A2F04">
            <w:pPr>
              <w:spacing w:line="320" w:lineRule="exact"/>
              <w:jc w:val="center"/>
              <w:rPr>
                <w:rFonts w:ascii="宋体"/>
                <w:kern w:val="0"/>
              </w:rPr>
            </w:pPr>
            <w:r>
              <w:rPr>
                <w:rFonts w:ascii="宋体" w:hAnsi="宋体" w:cs="宋体"/>
                <w:kern w:val="0"/>
              </w:rPr>
              <w:t>3</w:t>
            </w:r>
          </w:p>
        </w:tc>
        <w:tc>
          <w:tcPr>
            <w:tcW w:w="2551" w:type="dxa"/>
            <w:tcBorders>
              <w:top w:val="nil"/>
              <w:left w:val="nil"/>
              <w:bottom w:val="single" w:color="auto" w:sz="4" w:space="0"/>
              <w:right w:val="single" w:color="auto" w:sz="4" w:space="0"/>
            </w:tcBorders>
            <w:vAlign w:val="center"/>
          </w:tcPr>
          <w:p w14:paraId="5CBAAC94">
            <w:pPr>
              <w:spacing w:line="320" w:lineRule="exact"/>
              <w:rPr>
                <w:rFonts w:ascii="宋体"/>
                <w:kern w:val="0"/>
              </w:rPr>
            </w:pPr>
            <w:r>
              <w:rPr>
                <w:rFonts w:hint="eastAsia" w:ascii="宋体" w:hAnsi="宋体" w:cs="宋体"/>
                <w:kern w:val="0"/>
              </w:rPr>
              <w:t>部门（单位）是否按要求编报项目绩效目标，是否依据充分、内容完整、覆盖全面、符合实际。</w:t>
            </w:r>
          </w:p>
        </w:tc>
        <w:tc>
          <w:tcPr>
            <w:tcW w:w="7371" w:type="dxa"/>
            <w:tcBorders>
              <w:top w:val="nil"/>
              <w:left w:val="nil"/>
              <w:bottom w:val="single" w:color="auto" w:sz="4" w:space="0"/>
              <w:right w:val="single" w:color="auto" w:sz="4" w:space="0"/>
            </w:tcBorders>
            <w:vAlign w:val="center"/>
          </w:tcPr>
          <w:p w14:paraId="007B9AFD">
            <w:pPr>
              <w:spacing w:line="300" w:lineRule="exact"/>
              <w:rPr>
                <w:rFonts w:ascii="宋体" w:hAnsi="宋体" w:cs="宋体"/>
                <w:kern w:val="0"/>
              </w:rPr>
            </w:pPr>
            <w:r>
              <w:rPr>
                <w:rFonts w:hint="eastAsia" w:ascii="宋体" w:hAnsi="宋体" w:cs="宋体"/>
                <w:kern w:val="0"/>
              </w:rPr>
              <w:t>1.部门（单位）按要求编报部门整体和项目的绩效目标，实现绩效目标全覆盖（</w:t>
            </w:r>
            <w:r>
              <w:rPr>
                <w:rFonts w:ascii="宋体" w:hAnsi="宋体" w:cs="宋体"/>
                <w:kern w:val="0"/>
              </w:rPr>
              <w:t>3</w:t>
            </w:r>
            <w:r>
              <w:rPr>
                <w:rFonts w:hint="eastAsia" w:ascii="宋体" w:hAnsi="宋体" w:cs="宋体"/>
                <w:kern w:val="0"/>
              </w:rPr>
              <w:t>分）；</w:t>
            </w:r>
          </w:p>
          <w:p w14:paraId="20F57AA2">
            <w:pPr>
              <w:spacing w:line="300" w:lineRule="exact"/>
              <w:rPr>
                <w:rFonts w:ascii="宋体" w:hAnsi="宋体" w:cs="宋体"/>
                <w:kern w:val="0"/>
              </w:rPr>
            </w:pPr>
            <w:r>
              <w:rPr>
                <w:rFonts w:hint="eastAsia" w:ascii="宋体" w:hAnsi="宋体" w:cs="宋体"/>
                <w:kern w:val="0"/>
              </w:rPr>
              <w:t>2.没按要求编报绩效目标或绩效目标不符合要求的，一项扣</w:t>
            </w:r>
            <w:r>
              <w:rPr>
                <w:rFonts w:ascii="宋体" w:hAnsi="宋体" w:cs="宋体"/>
                <w:kern w:val="0"/>
              </w:rPr>
              <w:t>1</w:t>
            </w:r>
            <w:r>
              <w:rPr>
                <w:rFonts w:hint="eastAsia" w:ascii="宋体" w:hAnsi="宋体" w:cs="宋体"/>
                <w:kern w:val="0"/>
              </w:rPr>
              <w:t>分，扣完为止。</w:t>
            </w:r>
          </w:p>
        </w:tc>
        <w:tc>
          <w:tcPr>
            <w:tcW w:w="851" w:type="dxa"/>
            <w:tcBorders>
              <w:top w:val="nil"/>
              <w:left w:val="nil"/>
              <w:bottom w:val="single" w:color="auto" w:sz="4" w:space="0"/>
              <w:right w:val="single" w:color="auto" w:sz="4" w:space="0"/>
            </w:tcBorders>
            <w:vAlign w:val="center"/>
          </w:tcPr>
          <w:p w14:paraId="046E5E77">
            <w:pPr>
              <w:spacing w:line="300" w:lineRule="exact"/>
              <w:jc w:val="center"/>
              <w:rPr>
                <w:rFonts w:ascii="宋体" w:hAnsi="宋体" w:cs="宋体"/>
                <w:kern w:val="0"/>
              </w:rPr>
            </w:pPr>
            <w:r>
              <w:rPr>
                <w:rFonts w:hint="eastAsia" w:ascii="宋体" w:hAnsi="宋体" w:cs="宋体"/>
                <w:color w:val="FF0000"/>
                <w:kern w:val="0"/>
              </w:rPr>
              <w:t>2</w:t>
            </w:r>
          </w:p>
        </w:tc>
      </w:tr>
      <w:tr w14:paraId="33F4C473">
        <w:tblPrEx>
          <w:tblCellMar>
            <w:top w:w="0" w:type="dxa"/>
            <w:left w:w="108" w:type="dxa"/>
            <w:bottom w:w="0" w:type="dxa"/>
            <w:right w:w="108" w:type="dxa"/>
          </w:tblCellMar>
        </w:tblPrEx>
        <w:trPr>
          <w:trHeight w:val="1419" w:hRule="atLeast"/>
        </w:trPr>
        <w:tc>
          <w:tcPr>
            <w:tcW w:w="577" w:type="dxa"/>
            <w:vMerge w:val="continue"/>
            <w:tcBorders>
              <w:top w:val="nil"/>
              <w:left w:val="single" w:color="auto" w:sz="4" w:space="0"/>
              <w:bottom w:val="single" w:color="auto" w:sz="4" w:space="0"/>
              <w:right w:val="single" w:color="auto" w:sz="4" w:space="0"/>
            </w:tcBorders>
            <w:vAlign w:val="center"/>
          </w:tcPr>
          <w:p w14:paraId="15BDD485">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2E8EA887">
            <w:pPr>
              <w:spacing w:line="320" w:lineRule="exact"/>
              <w:rPr>
                <w:rFonts w:ascii="宋体"/>
                <w:kern w:val="0"/>
              </w:rPr>
            </w:pPr>
          </w:p>
        </w:tc>
        <w:tc>
          <w:tcPr>
            <w:tcW w:w="547" w:type="dxa"/>
            <w:vMerge w:val="continue"/>
            <w:tcBorders>
              <w:top w:val="nil"/>
              <w:left w:val="single" w:color="auto" w:sz="4" w:space="0"/>
              <w:bottom w:val="single" w:color="auto" w:sz="4" w:space="0"/>
              <w:right w:val="single" w:color="auto" w:sz="4" w:space="0"/>
            </w:tcBorders>
            <w:vAlign w:val="center"/>
          </w:tcPr>
          <w:p w14:paraId="31E419B3">
            <w:pPr>
              <w:spacing w:line="320" w:lineRule="exact"/>
              <w:rPr>
                <w:rFonts w:ascii="宋体"/>
                <w:kern w:val="0"/>
              </w:rPr>
            </w:pPr>
          </w:p>
        </w:tc>
        <w:tc>
          <w:tcPr>
            <w:tcW w:w="571" w:type="dxa"/>
            <w:vMerge w:val="continue"/>
            <w:tcBorders>
              <w:top w:val="nil"/>
              <w:left w:val="single" w:color="auto" w:sz="4" w:space="0"/>
              <w:bottom w:val="single" w:color="auto" w:sz="4" w:space="0"/>
              <w:right w:val="single" w:color="auto" w:sz="4" w:space="0"/>
            </w:tcBorders>
            <w:vAlign w:val="center"/>
          </w:tcPr>
          <w:p w14:paraId="16BAB146">
            <w:pPr>
              <w:spacing w:line="320" w:lineRule="exact"/>
              <w:jc w:val="center"/>
              <w:rPr>
                <w:rFonts w:ascii="宋体"/>
                <w:kern w:val="0"/>
              </w:rPr>
            </w:pPr>
          </w:p>
        </w:tc>
        <w:tc>
          <w:tcPr>
            <w:tcW w:w="705" w:type="dxa"/>
            <w:tcBorders>
              <w:top w:val="nil"/>
              <w:left w:val="nil"/>
              <w:bottom w:val="single" w:color="auto" w:sz="4" w:space="0"/>
              <w:right w:val="single" w:color="auto" w:sz="4" w:space="0"/>
            </w:tcBorders>
            <w:vAlign w:val="center"/>
          </w:tcPr>
          <w:p w14:paraId="132F7FF8">
            <w:pPr>
              <w:spacing w:line="320" w:lineRule="exact"/>
              <w:rPr>
                <w:rFonts w:ascii="宋体"/>
                <w:kern w:val="0"/>
              </w:rPr>
            </w:pPr>
            <w:r>
              <w:rPr>
                <w:rFonts w:hint="eastAsia" w:ascii="宋体" w:hAnsi="宋体" w:cs="宋体"/>
                <w:kern w:val="0"/>
              </w:rPr>
              <w:t>绩效指标明确性</w:t>
            </w:r>
          </w:p>
        </w:tc>
        <w:tc>
          <w:tcPr>
            <w:tcW w:w="567" w:type="dxa"/>
            <w:tcBorders>
              <w:top w:val="nil"/>
              <w:left w:val="nil"/>
              <w:bottom w:val="single" w:color="auto" w:sz="4" w:space="0"/>
              <w:right w:val="single" w:color="auto" w:sz="4" w:space="0"/>
            </w:tcBorders>
            <w:vAlign w:val="center"/>
          </w:tcPr>
          <w:p w14:paraId="204D0B66">
            <w:pPr>
              <w:spacing w:line="320" w:lineRule="exact"/>
              <w:jc w:val="center"/>
              <w:rPr>
                <w:rFonts w:ascii="宋体"/>
                <w:kern w:val="0"/>
              </w:rPr>
            </w:pPr>
            <w:r>
              <w:rPr>
                <w:rFonts w:hint="eastAsia" w:ascii="宋体" w:hAnsi="宋体" w:cs="宋体"/>
                <w:kern w:val="0"/>
              </w:rPr>
              <w:t>7</w:t>
            </w:r>
          </w:p>
        </w:tc>
        <w:tc>
          <w:tcPr>
            <w:tcW w:w="2551" w:type="dxa"/>
            <w:tcBorders>
              <w:top w:val="nil"/>
              <w:left w:val="nil"/>
              <w:bottom w:val="single" w:color="auto" w:sz="4" w:space="0"/>
              <w:right w:val="single" w:color="auto" w:sz="4" w:space="0"/>
            </w:tcBorders>
            <w:vAlign w:val="center"/>
          </w:tcPr>
          <w:p w14:paraId="46BB1006">
            <w:pPr>
              <w:spacing w:line="320" w:lineRule="exact"/>
              <w:rPr>
                <w:rFonts w:ascii="宋体"/>
                <w:kern w:val="0"/>
              </w:rPr>
            </w:pPr>
            <w:r>
              <w:rPr>
                <w:rFonts w:hint="eastAsia" w:ascii="宋体" w:hAnsi="宋体" w:cs="宋体"/>
                <w:kern w:val="0"/>
              </w:rPr>
              <w:t>部门（单位）设定的绩效指标是否清晰、细化、可量化，用以反映和考核部门（单位）整体绩效目标的明细化情况。</w:t>
            </w:r>
          </w:p>
        </w:tc>
        <w:tc>
          <w:tcPr>
            <w:tcW w:w="7371" w:type="dxa"/>
            <w:tcBorders>
              <w:top w:val="nil"/>
              <w:left w:val="nil"/>
              <w:bottom w:val="single" w:color="auto" w:sz="4" w:space="0"/>
              <w:right w:val="single" w:color="auto" w:sz="4" w:space="0"/>
            </w:tcBorders>
            <w:vAlign w:val="center"/>
          </w:tcPr>
          <w:p w14:paraId="11628EB6">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绩效指标将部门整体绩效目标细化分解为具体工作任务，与部门年度任务数或计划数相对应（2分）；</w:t>
            </w:r>
          </w:p>
          <w:p w14:paraId="0D0993B8">
            <w:pPr>
              <w:spacing w:line="300" w:lineRule="exact"/>
              <w:ind w:firstLine="420" w:firstLineChars="200"/>
              <w:rPr>
                <w:rFonts w:ascii="宋体" w:hAnsi="宋体" w:cs="宋体"/>
                <w:kern w:val="0"/>
              </w:rPr>
            </w:pPr>
            <w:r>
              <w:rPr>
                <w:rFonts w:hint="eastAsia" w:ascii="宋体" w:hAnsi="宋体" w:cs="宋体"/>
                <w:kern w:val="0"/>
              </w:rPr>
              <w:t>2.绩效指标中包含能够明确体现部门（单位）履职效果的社会、经济、生态效益指标（2分）；</w:t>
            </w:r>
          </w:p>
          <w:p w14:paraId="4374A4C7">
            <w:pPr>
              <w:spacing w:line="300" w:lineRule="exact"/>
              <w:ind w:firstLine="420" w:firstLineChars="200"/>
              <w:rPr>
                <w:rFonts w:ascii="宋体" w:hAnsi="宋体" w:cs="宋体"/>
                <w:kern w:val="0"/>
              </w:rPr>
            </w:pPr>
            <w:r>
              <w:rPr>
                <w:rFonts w:hint="eastAsia" w:ascii="宋体" w:hAnsi="宋体" w:cs="宋体"/>
                <w:kern w:val="0"/>
              </w:rPr>
              <w:t>3.绩效指标具有清晰、可衡量的指标值（</w:t>
            </w:r>
            <w:r>
              <w:rPr>
                <w:rFonts w:ascii="宋体" w:hAnsi="宋体" w:cs="宋体"/>
                <w:kern w:val="0"/>
              </w:rPr>
              <w:t>1</w:t>
            </w:r>
            <w:r>
              <w:rPr>
                <w:rFonts w:hint="eastAsia" w:ascii="宋体" w:hAnsi="宋体" w:cs="宋体"/>
                <w:kern w:val="0"/>
              </w:rPr>
              <w:t>分）；</w:t>
            </w:r>
          </w:p>
          <w:p w14:paraId="6CE24334">
            <w:pPr>
              <w:spacing w:line="300" w:lineRule="exact"/>
              <w:ind w:firstLine="420" w:firstLineChars="200"/>
              <w:rPr>
                <w:rFonts w:ascii="宋体" w:hAnsi="宋体" w:cs="宋体"/>
                <w:kern w:val="0"/>
              </w:rPr>
            </w:pPr>
            <w:r>
              <w:rPr>
                <w:rFonts w:hint="eastAsia" w:ascii="宋体" w:hAnsi="宋体" w:cs="宋体"/>
                <w:kern w:val="0"/>
              </w:rPr>
              <w:t>4</w:t>
            </w:r>
            <w:r>
              <w:rPr>
                <w:rFonts w:ascii="宋体" w:hAnsi="宋体" w:cs="宋体"/>
                <w:kern w:val="0"/>
              </w:rPr>
              <w:t>.</w:t>
            </w:r>
            <w:r>
              <w:rPr>
                <w:rFonts w:hint="eastAsia" w:ascii="宋体" w:hAnsi="宋体" w:cs="宋体"/>
                <w:kern w:val="0"/>
              </w:rPr>
              <w:t>绩效指标包含可量化的指标（</w:t>
            </w:r>
            <w:r>
              <w:rPr>
                <w:rFonts w:ascii="宋体" w:hAnsi="宋体" w:cs="宋体"/>
                <w:kern w:val="0"/>
              </w:rPr>
              <w:t>1</w:t>
            </w:r>
            <w:r>
              <w:rPr>
                <w:rFonts w:hint="eastAsia" w:ascii="宋体" w:hAnsi="宋体" w:cs="宋体"/>
                <w:kern w:val="0"/>
              </w:rPr>
              <w:t>分）；</w:t>
            </w:r>
          </w:p>
          <w:p w14:paraId="3F3904B9">
            <w:pPr>
              <w:spacing w:line="300" w:lineRule="exact"/>
              <w:ind w:firstLine="420" w:firstLineChars="200"/>
              <w:rPr>
                <w:rFonts w:ascii="宋体" w:hAnsi="宋体" w:cs="宋体"/>
                <w:kern w:val="0"/>
              </w:rPr>
            </w:pPr>
            <w:r>
              <w:rPr>
                <w:rFonts w:hint="eastAsia" w:ascii="宋体" w:hAnsi="宋体" w:cs="宋体"/>
                <w:kern w:val="0"/>
              </w:rPr>
              <w:t>5</w:t>
            </w:r>
            <w:r>
              <w:rPr>
                <w:rFonts w:ascii="宋体" w:hAnsi="宋体" w:cs="宋体"/>
                <w:kern w:val="0"/>
              </w:rPr>
              <w:t>.</w:t>
            </w:r>
            <w:r>
              <w:rPr>
                <w:rFonts w:hint="eastAsia" w:ascii="宋体" w:hAnsi="宋体" w:cs="宋体"/>
                <w:kern w:val="0"/>
              </w:rPr>
              <w:t>绩效目标的目标值测算能提供相关依据或符合客观实际情况（</w:t>
            </w:r>
            <w:r>
              <w:rPr>
                <w:rFonts w:ascii="宋体" w:hAnsi="宋体" w:cs="宋体"/>
                <w:kern w:val="0"/>
              </w:rPr>
              <w:t>1</w:t>
            </w:r>
            <w:r>
              <w:rPr>
                <w:rFonts w:hint="eastAsia" w:ascii="宋体" w:hAnsi="宋体" w:cs="宋体"/>
                <w:kern w:val="0"/>
              </w:rPr>
              <w:t>分）。</w:t>
            </w:r>
          </w:p>
        </w:tc>
        <w:tc>
          <w:tcPr>
            <w:tcW w:w="851" w:type="dxa"/>
            <w:tcBorders>
              <w:top w:val="nil"/>
              <w:left w:val="nil"/>
              <w:bottom w:val="single" w:color="auto" w:sz="4" w:space="0"/>
              <w:right w:val="single" w:color="auto" w:sz="4" w:space="0"/>
            </w:tcBorders>
            <w:vAlign w:val="center"/>
          </w:tcPr>
          <w:p w14:paraId="0976F72A">
            <w:pPr>
              <w:spacing w:line="320" w:lineRule="exact"/>
              <w:jc w:val="center"/>
              <w:rPr>
                <w:rFonts w:ascii="宋体" w:hAnsi="宋体" w:cs="宋体"/>
                <w:kern w:val="0"/>
              </w:rPr>
            </w:pPr>
            <w:r>
              <w:rPr>
                <w:rFonts w:hint="eastAsia" w:ascii="宋体" w:hAnsi="宋体" w:cs="宋体"/>
                <w:color w:val="FF0000"/>
                <w:kern w:val="0"/>
              </w:rPr>
              <w:t>6</w:t>
            </w:r>
          </w:p>
        </w:tc>
      </w:tr>
      <w:tr w14:paraId="7594FCF9">
        <w:tblPrEx>
          <w:tblCellMar>
            <w:top w:w="0" w:type="dxa"/>
            <w:left w:w="108" w:type="dxa"/>
            <w:bottom w:w="0" w:type="dxa"/>
            <w:right w:w="108" w:type="dxa"/>
          </w:tblCellMar>
        </w:tblPrEx>
        <w:trPr>
          <w:trHeight w:val="418" w:hRule="atLeast"/>
        </w:trPr>
        <w:tc>
          <w:tcPr>
            <w:tcW w:w="577" w:type="dxa"/>
            <w:vMerge w:val="restart"/>
            <w:tcBorders>
              <w:top w:val="nil"/>
              <w:left w:val="single" w:color="auto" w:sz="4" w:space="0"/>
              <w:bottom w:val="single" w:color="auto" w:sz="4" w:space="0"/>
              <w:right w:val="single" w:color="auto" w:sz="4" w:space="0"/>
            </w:tcBorders>
            <w:vAlign w:val="center"/>
          </w:tcPr>
          <w:p w14:paraId="50214079">
            <w:pPr>
              <w:spacing w:line="320" w:lineRule="exact"/>
              <w:rPr>
                <w:rFonts w:ascii="宋体"/>
                <w:kern w:val="0"/>
              </w:rPr>
            </w:pPr>
            <w:r>
              <w:rPr>
                <w:rFonts w:hint="eastAsia" w:ascii="宋体" w:hAnsi="宋体" w:cs="宋体"/>
                <w:kern w:val="0"/>
              </w:rPr>
              <w:t>部门管理</w:t>
            </w:r>
          </w:p>
        </w:tc>
        <w:tc>
          <w:tcPr>
            <w:tcW w:w="508" w:type="dxa"/>
            <w:vMerge w:val="restart"/>
            <w:tcBorders>
              <w:top w:val="nil"/>
              <w:left w:val="single" w:color="auto" w:sz="4" w:space="0"/>
              <w:bottom w:val="single" w:color="auto" w:sz="4" w:space="0"/>
              <w:right w:val="single" w:color="auto" w:sz="4" w:space="0"/>
            </w:tcBorders>
            <w:vAlign w:val="center"/>
          </w:tcPr>
          <w:p w14:paraId="26B353DA">
            <w:pPr>
              <w:spacing w:line="320" w:lineRule="exact"/>
              <w:rPr>
                <w:rFonts w:ascii="宋体"/>
                <w:kern w:val="0"/>
              </w:rPr>
            </w:pPr>
            <w:r>
              <w:rPr>
                <w:rFonts w:hint="eastAsia" w:ascii="宋体" w:hAnsi="宋体" w:cs="宋体"/>
                <w:kern w:val="0"/>
              </w:rPr>
              <w:t>20</w:t>
            </w:r>
          </w:p>
        </w:tc>
        <w:tc>
          <w:tcPr>
            <w:tcW w:w="547" w:type="dxa"/>
            <w:vMerge w:val="restart"/>
            <w:tcBorders>
              <w:top w:val="nil"/>
              <w:left w:val="single" w:color="auto" w:sz="4" w:space="0"/>
              <w:bottom w:val="single" w:color="auto" w:sz="4" w:space="0"/>
              <w:right w:val="single" w:color="auto" w:sz="4" w:space="0"/>
            </w:tcBorders>
            <w:vAlign w:val="center"/>
          </w:tcPr>
          <w:p w14:paraId="48A48944">
            <w:pPr>
              <w:spacing w:line="320" w:lineRule="exact"/>
              <w:rPr>
                <w:rFonts w:ascii="宋体"/>
                <w:kern w:val="0"/>
              </w:rPr>
            </w:pPr>
            <w:r>
              <w:rPr>
                <w:rFonts w:hint="eastAsia" w:ascii="宋体" w:hAnsi="宋体" w:cs="宋体"/>
                <w:kern w:val="0"/>
              </w:rPr>
              <w:t>资金管理</w:t>
            </w:r>
          </w:p>
        </w:tc>
        <w:tc>
          <w:tcPr>
            <w:tcW w:w="571" w:type="dxa"/>
            <w:vMerge w:val="restart"/>
            <w:tcBorders>
              <w:top w:val="nil"/>
              <w:left w:val="single" w:color="auto" w:sz="4" w:space="0"/>
              <w:bottom w:val="single" w:color="auto" w:sz="4" w:space="0"/>
              <w:right w:val="single" w:color="auto" w:sz="4" w:space="0"/>
            </w:tcBorders>
            <w:vAlign w:val="center"/>
          </w:tcPr>
          <w:p w14:paraId="6B32E2F2">
            <w:pPr>
              <w:spacing w:line="320" w:lineRule="exact"/>
              <w:jc w:val="center"/>
              <w:rPr>
                <w:rFonts w:ascii="宋体"/>
                <w:kern w:val="0"/>
              </w:rPr>
            </w:pPr>
            <w:r>
              <w:rPr>
                <w:rFonts w:hint="eastAsia" w:ascii="宋体" w:hAnsi="宋体" w:cs="宋体"/>
                <w:kern w:val="0"/>
              </w:rPr>
              <w:t>8</w:t>
            </w:r>
          </w:p>
        </w:tc>
        <w:tc>
          <w:tcPr>
            <w:tcW w:w="705" w:type="dxa"/>
            <w:tcBorders>
              <w:top w:val="single" w:color="auto" w:sz="4" w:space="0"/>
              <w:left w:val="nil"/>
              <w:bottom w:val="single" w:color="auto" w:sz="4" w:space="0"/>
              <w:right w:val="single" w:color="auto" w:sz="4" w:space="0"/>
            </w:tcBorders>
            <w:vAlign w:val="center"/>
          </w:tcPr>
          <w:p w14:paraId="1A3957AD">
            <w:pPr>
              <w:spacing w:line="320" w:lineRule="exact"/>
              <w:rPr>
                <w:rFonts w:ascii="宋体"/>
                <w:kern w:val="0"/>
              </w:rPr>
            </w:pPr>
            <w:r>
              <w:rPr>
                <w:rFonts w:hint="eastAsia" w:ascii="宋体" w:hAnsi="宋体" w:cs="宋体"/>
                <w:kern w:val="0"/>
              </w:rPr>
              <w:t>政府采购执行情况</w:t>
            </w:r>
          </w:p>
        </w:tc>
        <w:tc>
          <w:tcPr>
            <w:tcW w:w="567" w:type="dxa"/>
            <w:tcBorders>
              <w:top w:val="single" w:color="auto" w:sz="4" w:space="0"/>
              <w:left w:val="nil"/>
              <w:bottom w:val="single" w:color="auto" w:sz="4" w:space="0"/>
              <w:right w:val="single" w:color="auto" w:sz="4" w:space="0"/>
            </w:tcBorders>
            <w:vAlign w:val="center"/>
          </w:tcPr>
          <w:p w14:paraId="24E541C5">
            <w:pPr>
              <w:spacing w:line="320" w:lineRule="exact"/>
              <w:jc w:val="center"/>
              <w:rPr>
                <w:rFonts w:ascii="宋体"/>
                <w:kern w:val="0"/>
              </w:rPr>
            </w:pPr>
            <w:r>
              <w:rPr>
                <w:rFonts w:ascii="宋体" w:hAnsi="宋体" w:cs="宋体"/>
                <w:kern w:val="0"/>
              </w:rPr>
              <w:t>2</w:t>
            </w:r>
          </w:p>
        </w:tc>
        <w:tc>
          <w:tcPr>
            <w:tcW w:w="2551" w:type="dxa"/>
            <w:tcBorders>
              <w:top w:val="single" w:color="auto" w:sz="4" w:space="0"/>
              <w:left w:val="nil"/>
              <w:bottom w:val="single" w:color="auto" w:sz="4" w:space="0"/>
              <w:right w:val="single" w:color="auto" w:sz="4" w:space="0"/>
            </w:tcBorders>
            <w:vAlign w:val="center"/>
          </w:tcPr>
          <w:p w14:paraId="0A18E5B5">
            <w:pPr>
              <w:spacing w:line="320" w:lineRule="exact"/>
              <w:rPr>
                <w:rFonts w:ascii="宋体"/>
                <w:kern w:val="0"/>
              </w:rPr>
            </w:pPr>
            <w:r>
              <w:rPr>
                <w:rFonts w:hint="eastAsia" w:ascii="宋体" w:hAnsi="宋体" w:cs="宋体"/>
                <w:kern w:val="0"/>
              </w:rPr>
              <w:t>部门（单位）本年度实际政府采购金额与年度政府采购预算的比率，用以反映和考核部门（单位）政府采购预算执行情况；政府采购政策功能的执行和落实情况。</w:t>
            </w:r>
          </w:p>
        </w:tc>
        <w:tc>
          <w:tcPr>
            <w:tcW w:w="7371" w:type="dxa"/>
            <w:tcBorders>
              <w:top w:val="single" w:color="auto" w:sz="4" w:space="0"/>
              <w:left w:val="nil"/>
              <w:bottom w:val="single" w:color="auto" w:sz="4" w:space="0"/>
              <w:right w:val="single" w:color="auto" w:sz="4" w:space="0"/>
            </w:tcBorders>
            <w:vAlign w:val="center"/>
          </w:tcPr>
          <w:p w14:paraId="7830FAA3">
            <w:pPr>
              <w:spacing w:line="300" w:lineRule="exact"/>
              <w:rPr>
                <w:rFonts w:ascii="宋体" w:hAnsi="宋体" w:cs="宋体"/>
                <w:kern w:val="0"/>
              </w:rPr>
            </w:pPr>
            <w:r>
              <w:rPr>
                <w:rFonts w:hint="eastAsia" w:ascii="宋体" w:hAnsi="宋体" w:cs="宋体"/>
                <w:kern w:val="0"/>
              </w:rPr>
              <w:t>1.政府采购执行率得分</w:t>
            </w:r>
            <w:r>
              <w:rPr>
                <w:rFonts w:ascii="宋体" w:hAnsi="宋体" w:cs="宋体"/>
                <w:kern w:val="0"/>
              </w:rPr>
              <w:t>=</w:t>
            </w:r>
            <w:r>
              <w:rPr>
                <w:rFonts w:hint="eastAsia" w:ascii="宋体" w:hAnsi="宋体" w:cs="宋体"/>
                <w:kern w:val="0"/>
              </w:rPr>
              <w:t>政府采购执行率×1分</w:t>
            </w:r>
          </w:p>
          <w:p w14:paraId="0A0C2DAA">
            <w:pPr>
              <w:spacing w:line="300" w:lineRule="exact"/>
              <w:rPr>
                <w:rFonts w:ascii="宋体" w:hAnsi="宋体" w:cs="宋体"/>
                <w:kern w:val="0"/>
              </w:rPr>
            </w:pPr>
            <w:r>
              <w:rPr>
                <w:rFonts w:hint="eastAsia" w:ascii="宋体" w:hAnsi="宋体" w:cs="宋体"/>
                <w:kern w:val="0"/>
              </w:rPr>
              <w:t>政府采购执行率</w:t>
            </w:r>
            <w:r>
              <w:rPr>
                <w:rFonts w:ascii="宋体" w:hAnsi="宋体" w:cs="宋体"/>
                <w:kern w:val="0"/>
              </w:rPr>
              <w:t>=</w:t>
            </w:r>
            <w:r>
              <w:rPr>
                <w:rFonts w:hint="eastAsia" w:ascii="宋体" w:hAnsi="宋体" w:cs="宋体"/>
                <w:kern w:val="0"/>
              </w:rPr>
              <w:t>（实际采购金额合计数</w:t>
            </w:r>
            <w:r>
              <w:rPr>
                <w:rFonts w:ascii="宋体" w:hAnsi="宋体" w:cs="宋体"/>
                <w:kern w:val="0"/>
              </w:rPr>
              <w:t>/</w:t>
            </w:r>
            <w:r>
              <w:rPr>
                <w:rFonts w:hint="eastAsia" w:ascii="宋体" w:hAnsi="宋体" w:cs="宋体"/>
                <w:kern w:val="0"/>
              </w:rPr>
              <w:t>采购计划金额合计数）×</w:t>
            </w:r>
            <w:r>
              <w:rPr>
                <w:rFonts w:ascii="宋体" w:hAnsi="宋体" w:cs="宋体"/>
                <w:kern w:val="0"/>
              </w:rPr>
              <w:t>100%</w:t>
            </w:r>
          </w:p>
          <w:p w14:paraId="10407C59">
            <w:pPr>
              <w:spacing w:line="300" w:lineRule="exact"/>
              <w:rPr>
                <w:rFonts w:ascii="宋体" w:hAnsi="宋体" w:cs="宋体"/>
                <w:kern w:val="0"/>
              </w:rPr>
            </w:pPr>
            <w:r>
              <w:rPr>
                <w:rFonts w:hint="eastAsia" w:ascii="宋体" w:hAnsi="宋体" w:cs="宋体"/>
                <w:kern w:val="0"/>
              </w:rPr>
              <w:t>如实际采购金额大于采购计划金额，本项得0分。</w:t>
            </w:r>
          </w:p>
          <w:p w14:paraId="14EF0E8B">
            <w:pPr>
              <w:spacing w:line="300" w:lineRule="exact"/>
              <w:rPr>
                <w:rFonts w:ascii="宋体" w:hAnsi="宋体" w:cs="宋体"/>
                <w:kern w:val="0"/>
              </w:rPr>
            </w:pPr>
            <w:r>
              <w:rPr>
                <w:rFonts w:hint="eastAsia" w:ascii="宋体" w:hAnsi="宋体" w:cs="宋体"/>
                <w:kern w:val="0"/>
              </w:rPr>
              <w:t>政府采购预算是指采购机关根据事业发展计划和行政任务编制的</w:t>
            </w:r>
            <w:r>
              <w:rPr>
                <w:rFonts w:hint="eastAsia" w:ascii="宋体" w:hAnsi="宋体" w:cs="宋体"/>
                <w:kern w:val="0"/>
                <w:lang w:eastAsia="zh-CN"/>
              </w:rPr>
              <w:t>，</w:t>
            </w:r>
            <w:r>
              <w:rPr>
                <w:rFonts w:hint="eastAsia" w:ascii="宋体" w:hAnsi="宋体" w:cs="宋体"/>
                <w:kern w:val="0"/>
              </w:rPr>
              <w:t>并经过规定程序批准的年度政府采购计划。</w:t>
            </w:r>
          </w:p>
          <w:p w14:paraId="320DA46B">
            <w:pPr>
              <w:spacing w:line="300" w:lineRule="exact"/>
              <w:rPr>
                <w:rFonts w:ascii="宋体" w:hAnsi="宋体" w:cs="宋体"/>
                <w:kern w:val="0"/>
              </w:rPr>
            </w:pPr>
            <w:r>
              <w:rPr>
                <w:rFonts w:hint="eastAsia" w:ascii="宋体" w:hAnsi="宋体" w:cs="宋体"/>
                <w:kern w:val="0"/>
              </w:rPr>
              <w:t>2.政府采购政策功能的执行和落实情况（1分），落实不到位的酌情扣分。</w:t>
            </w:r>
          </w:p>
        </w:tc>
        <w:tc>
          <w:tcPr>
            <w:tcW w:w="851" w:type="dxa"/>
            <w:tcBorders>
              <w:top w:val="single" w:color="auto" w:sz="4" w:space="0"/>
              <w:left w:val="nil"/>
              <w:bottom w:val="single" w:color="auto" w:sz="4" w:space="0"/>
              <w:right w:val="single" w:color="auto" w:sz="4" w:space="0"/>
            </w:tcBorders>
            <w:vAlign w:val="center"/>
          </w:tcPr>
          <w:p w14:paraId="50696002">
            <w:pPr>
              <w:spacing w:line="320" w:lineRule="exact"/>
              <w:jc w:val="center"/>
              <w:rPr>
                <w:rFonts w:ascii="宋体" w:hAnsi="宋体" w:cs="宋体"/>
                <w:kern w:val="0"/>
              </w:rPr>
            </w:pPr>
            <w:r>
              <w:rPr>
                <w:rFonts w:ascii="宋体" w:hAnsi="宋体" w:cs="宋体"/>
                <w:kern w:val="0"/>
              </w:rPr>
              <w:t>2</w:t>
            </w:r>
          </w:p>
        </w:tc>
      </w:tr>
      <w:tr w14:paraId="086FDD64">
        <w:tblPrEx>
          <w:tblCellMar>
            <w:top w:w="0" w:type="dxa"/>
            <w:left w:w="108" w:type="dxa"/>
            <w:bottom w:w="0" w:type="dxa"/>
            <w:right w:w="108" w:type="dxa"/>
          </w:tblCellMar>
        </w:tblPrEx>
        <w:trPr>
          <w:trHeight w:val="1819" w:hRule="atLeast"/>
        </w:trPr>
        <w:tc>
          <w:tcPr>
            <w:tcW w:w="577" w:type="dxa"/>
            <w:vMerge w:val="continue"/>
            <w:tcBorders>
              <w:top w:val="nil"/>
              <w:left w:val="single" w:color="auto" w:sz="4" w:space="0"/>
              <w:bottom w:val="single" w:color="auto" w:sz="4" w:space="0"/>
              <w:right w:val="single" w:color="auto" w:sz="4" w:space="0"/>
            </w:tcBorders>
            <w:vAlign w:val="center"/>
          </w:tcPr>
          <w:p w14:paraId="6FB9CAE6">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45A9CFDE">
            <w:pPr>
              <w:spacing w:line="320" w:lineRule="exact"/>
              <w:rPr>
                <w:rFonts w:ascii="宋体"/>
                <w:kern w:val="0"/>
              </w:rPr>
            </w:pPr>
          </w:p>
        </w:tc>
        <w:tc>
          <w:tcPr>
            <w:tcW w:w="547" w:type="dxa"/>
            <w:vMerge w:val="continue"/>
            <w:tcBorders>
              <w:top w:val="nil"/>
              <w:left w:val="single" w:color="auto" w:sz="4" w:space="0"/>
              <w:bottom w:val="single" w:color="auto" w:sz="4" w:space="0"/>
              <w:right w:val="single" w:color="auto" w:sz="4" w:space="0"/>
            </w:tcBorders>
            <w:vAlign w:val="center"/>
          </w:tcPr>
          <w:p w14:paraId="1E984A4C">
            <w:pPr>
              <w:spacing w:line="320" w:lineRule="exact"/>
              <w:rPr>
                <w:rFonts w:ascii="宋体"/>
                <w:kern w:val="0"/>
              </w:rPr>
            </w:pPr>
          </w:p>
        </w:tc>
        <w:tc>
          <w:tcPr>
            <w:tcW w:w="571" w:type="dxa"/>
            <w:vMerge w:val="continue"/>
            <w:tcBorders>
              <w:top w:val="nil"/>
              <w:left w:val="single" w:color="auto" w:sz="4" w:space="0"/>
              <w:bottom w:val="single" w:color="auto" w:sz="4" w:space="0"/>
              <w:right w:val="single" w:color="auto" w:sz="4" w:space="0"/>
            </w:tcBorders>
            <w:vAlign w:val="center"/>
          </w:tcPr>
          <w:p w14:paraId="5367067F">
            <w:pPr>
              <w:spacing w:line="320" w:lineRule="exact"/>
              <w:jc w:val="center"/>
              <w:rPr>
                <w:rFonts w:ascii="宋体"/>
                <w:kern w:val="0"/>
              </w:rPr>
            </w:pPr>
          </w:p>
        </w:tc>
        <w:tc>
          <w:tcPr>
            <w:tcW w:w="705" w:type="dxa"/>
            <w:tcBorders>
              <w:top w:val="single" w:color="auto" w:sz="4" w:space="0"/>
              <w:left w:val="nil"/>
              <w:bottom w:val="single" w:color="auto" w:sz="4" w:space="0"/>
              <w:right w:val="single" w:color="auto" w:sz="4" w:space="0"/>
            </w:tcBorders>
            <w:vAlign w:val="center"/>
          </w:tcPr>
          <w:p w14:paraId="32711B84">
            <w:pPr>
              <w:spacing w:line="320" w:lineRule="exact"/>
              <w:rPr>
                <w:rFonts w:ascii="宋体"/>
                <w:kern w:val="0"/>
              </w:rPr>
            </w:pPr>
            <w:r>
              <w:rPr>
                <w:rFonts w:hint="eastAsia" w:ascii="宋体" w:hAnsi="宋体" w:cs="宋体"/>
                <w:kern w:val="0"/>
              </w:rPr>
              <w:t>财务合规性</w:t>
            </w:r>
          </w:p>
        </w:tc>
        <w:tc>
          <w:tcPr>
            <w:tcW w:w="567" w:type="dxa"/>
            <w:tcBorders>
              <w:top w:val="single" w:color="auto" w:sz="4" w:space="0"/>
              <w:left w:val="nil"/>
              <w:bottom w:val="single" w:color="auto" w:sz="4" w:space="0"/>
              <w:right w:val="single" w:color="auto" w:sz="4" w:space="0"/>
            </w:tcBorders>
            <w:vAlign w:val="center"/>
          </w:tcPr>
          <w:p w14:paraId="38396794">
            <w:pPr>
              <w:spacing w:line="320" w:lineRule="exact"/>
              <w:jc w:val="center"/>
              <w:rPr>
                <w:rFonts w:ascii="宋体"/>
                <w:kern w:val="0"/>
              </w:rPr>
            </w:pPr>
            <w:r>
              <w:rPr>
                <w:rFonts w:hint="eastAsia" w:ascii="宋体" w:hAnsi="宋体" w:cs="宋体"/>
                <w:kern w:val="0"/>
              </w:rPr>
              <w:t>3</w:t>
            </w:r>
          </w:p>
        </w:tc>
        <w:tc>
          <w:tcPr>
            <w:tcW w:w="2551" w:type="dxa"/>
            <w:tcBorders>
              <w:top w:val="single" w:color="auto" w:sz="4" w:space="0"/>
              <w:left w:val="nil"/>
              <w:bottom w:val="single" w:color="auto" w:sz="4" w:space="0"/>
              <w:right w:val="single" w:color="auto" w:sz="4" w:space="0"/>
            </w:tcBorders>
            <w:vAlign w:val="center"/>
          </w:tcPr>
          <w:p w14:paraId="0D475D54">
            <w:pPr>
              <w:spacing w:line="320" w:lineRule="exact"/>
              <w:rPr>
                <w:rFonts w:ascii="宋体" w:hAnsi="宋体" w:cs="宋体"/>
                <w:kern w:val="0"/>
              </w:rPr>
            </w:pPr>
            <w:r>
              <w:rPr>
                <w:rFonts w:hint="eastAsia" w:ascii="宋体" w:hAnsi="宋体" w:cs="宋体"/>
                <w:kern w:val="0"/>
              </w:rPr>
              <w:t>部门（单位）资金支出规范性，包括资金管理、费用支出等制度是否严格执行；资金调整、调剂是否规范；会计核算是否规范、是否存在支出依据不合规、虚列项目支出的情况；是否存在截留、挤占、挪用项目资金情况。</w:t>
            </w:r>
          </w:p>
        </w:tc>
        <w:tc>
          <w:tcPr>
            <w:tcW w:w="7371" w:type="dxa"/>
            <w:tcBorders>
              <w:top w:val="single" w:color="auto" w:sz="4" w:space="0"/>
              <w:left w:val="nil"/>
              <w:bottom w:val="single" w:color="auto" w:sz="4" w:space="0"/>
              <w:right w:val="single" w:color="auto" w:sz="4" w:space="0"/>
            </w:tcBorders>
            <w:vAlign w:val="center"/>
          </w:tcPr>
          <w:p w14:paraId="05D41AB6">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资金支出规范性（1分）。资金管理、费用标准、支付符合有关制度规定，按事项完成进度支付资金的，得1分，否则酌情扣分。</w:t>
            </w:r>
          </w:p>
          <w:p w14:paraId="35117EA0">
            <w:pPr>
              <w:spacing w:line="300" w:lineRule="exact"/>
              <w:ind w:firstLine="420" w:firstLineChars="200"/>
              <w:rPr>
                <w:rFonts w:ascii="宋体" w:hAnsi="宋体" w:cs="宋体"/>
                <w:kern w:val="0"/>
              </w:rPr>
            </w:pPr>
            <w:r>
              <w:rPr>
                <w:rFonts w:hint="eastAsia" w:ascii="宋体" w:hAnsi="宋体" w:cs="宋体"/>
                <w:kern w:val="0"/>
              </w:rPr>
              <w:t>2.资金调整、调剂规范性（1分）。调整、调剂资金累计在本单位部门预算总规模10%以内的，得1分；超出10%的，超出一个百分点扣0.1分，直至1分扣完为止。</w:t>
            </w:r>
          </w:p>
          <w:p w14:paraId="7B33970A">
            <w:pPr>
              <w:spacing w:line="300" w:lineRule="exact"/>
              <w:ind w:firstLine="420" w:firstLineChars="200"/>
              <w:rPr>
                <w:rFonts w:ascii="宋体" w:hAnsi="宋体" w:cs="宋体"/>
                <w:kern w:val="0"/>
              </w:rPr>
            </w:pPr>
            <w:r>
              <w:rPr>
                <w:rFonts w:hint="eastAsia" w:ascii="宋体" w:hAnsi="宋体" w:cs="宋体"/>
                <w:kern w:val="0"/>
              </w:rPr>
              <w:t>3.会计核算规范性（1分）。规范执行会计核算制度得1分，未按规定设专账核算、支出凭证不符合规定或其他核算不规范，酌情扣分。</w:t>
            </w:r>
          </w:p>
          <w:p w14:paraId="05364F73">
            <w:pPr>
              <w:spacing w:line="300" w:lineRule="exact"/>
              <w:ind w:firstLine="420" w:firstLineChars="200"/>
              <w:rPr>
                <w:rFonts w:ascii="宋体" w:hAnsi="宋体" w:cs="宋体"/>
                <w:kern w:val="0"/>
              </w:rPr>
            </w:pPr>
            <w:r>
              <w:rPr>
                <w:rFonts w:hint="eastAsia" w:ascii="宋体" w:hAnsi="宋体" w:cs="宋体"/>
                <w:kern w:val="0"/>
              </w:rPr>
              <w:t>4.发生超范围、超标准支出，虚列支出，截留、挤占、挪用资金的，以及其他不符合制度规定支出，本项指标得0分。</w:t>
            </w:r>
          </w:p>
        </w:tc>
        <w:tc>
          <w:tcPr>
            <w:tcW w:w="851" w:type="dxa"/>
            <w:tcBorders>
              <w:top w:val="single" w:color="auto" w:sz="4" w:space="0"/>
              <w:left w:val="nil"/>
              <w:bottom w:val="single" w:color="auto" w:sz="4" w:space="0"/>
              <w:right w:val="single" w:color="auto" w:sz="4" w:space="0"/>
            </w:tcBorders>
            <w:vAlign w:val="center"/>
          </w:tcPr>
          <w:p w14:paraId="0F92A926">
            <w:pPr>
              <w:spacing w:line="320" w:lineRule="exact"/>
              <w:ind w:firstLine="200" w:firstLineChars="100"/>
              <w:rPr>
                <w:rFonts w:ascii="宋体" w:hAnsi="宋体" w:cs="宋体"/>
                <w:kern w:val="0"/>
                <w:sz w:val="20"/>
                <w:szCs w:val="22"/>
              </w:rPr>
            </w:pPr>
            <w:r>
              <w:rPr>
                <w:rFonts w:hint="eastAsia" w:ascii="宋体" w:hAnsi="宋体" w:cs="宋体"/>
                <w:color w:val="FF0000"/>
                <w:kern w:val="0"/>
                <w:sz w:val="20"/>
                <w:szCs w:val="22"/>
              </w:rPr>
              <w:t>2</w:t>
            </w:r>
          </w:p>
        </w:tc>
      </w:tr>
      <w:tr w14:paraId="1A21C33B">
        <w:tblPrEx>
          <w:tblCellMar>
            <w:top w:w="0" w:type="dxa"/>
            <w:left w:w="108" w:type="dxa"/>
            <w:bottom w:w="0" w:type="dxa"/>
            <w:right w:w="108" w:type="dxa"/>
          </w:tblCellMar>
        </w:tblPrEx>
        <w:trPr>
          <w:trHeight w:val="2254" w:hRule="atLeast"/>
        </w:trPr>
        <w:tc>
          <w:tcPr>
            <w:tcW w:w="577" w:type="dxa"/>
            <w:vMerge w:val="continue"/>
            <w:tcBorders>
              <w:top w:val="nil"/>
              <w:left w:val="single" w:color="auto" w:sz="4" w:space="0"/>
              <w:bottom w:val="single" w:color="auto" w:sz="4" w:space="0"/>
              <w:right w:val="single" w:color="auto" w:sz="4" w:space="0"/>
            </w:tcBorders>
            <w:vAlign w:val="center"/>
          </w:tcPr>
          <w:p w14:paraId="468CFCDA">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29CD0187">
            <w:pPr>
              <w:spacing w:line="320" w:lineRule="exact"/>
              <w:rPr>
                <w:rFonts w:ascii="宋体"/>
                <w:kern w:val="0"/>
              </w:rPr>
            </w:pPr>
          </w:p>
        </w:tc>
        <w:tc>
          <w:tcPr>
            <w:tcW w:w="547" w:type="dxa"/>
            <w:vMerge w:val="continue"/>
            <w:tcBorders>
              <w:top w:val="nil"/>
              <w:left w:val="single" w:color="auto" w:sz="4" w:space="0"/>
              <w:bottom w:val="single" w:color="auto" w:sz="4" w:space="0"/>
              <w:right w:val="single" w:color="auto" w:sz="4" w:space="0"/>
            </w:tcBorders>
            <w:vAlign w:val="center"/>
          </w:tcPr>
          <w:p w14:paraId="38C052B6">
            <w:pPr>
              <w:spacing w:line="320" w:lineRule="exact"/>
              <w:rPr>
                <w:rFonts w:ascii="宋体"/>
                <w:kern w:val="0"/>
              </w:rPr>
            </w:pPr>
          </w:p>
        </w:tc>
        <w:tc>
          <w:tcPr>
            <w:tcW w:w="571" w:type="dxa"/>
            <w:vMerge w:val="continue"/>
            <w:tcBorders>
              <w:top w:val="nil"/>
              <w:left w:val="single" w:color="auto" w:sz="4" w:space="0"/>
              <w:bottom w:val="single" w:color="auto" w:sz="4" w:space="0"/>
              <w:right w:val="single" w:color="auto" w:sz="4" w:space="0"/>
            </w:tcBorders>
            <w:vAlign w:val="center"/>
          </w:tcPr>
          <w:p w14:paraId="4531F293">
            <w:pPr>
              <w:spacing w:line="320" w:lineRule="exact"/>
              <w:jc w:val="center"/>
              <w:rPr>
                <w:rFonts w:ascii="宋体"/>
                <w:kern w:val="0"/>
              </w:rPr>
            </w:pPr>
          </w:p>
        </w:tc>
        <w:tc>
          <w:tcPr>
            <w:tcW w:w="705" w:type="dxa"/>
            <w:tcBorders>
              <w:top w:val="nil"/>
              <w:left w:val="nil"/>
              <w:bottom w:val="single" w:color="auto" w:sz="4" w:space="0"/>
              <w:right w:val="single" w:color="auto" w:sz="4" w:space="0"/>
            </w:tcBorders>
            <w:vAlign w:val="center"/>
          </w:tcPr>
          <w:p w14:paraId="2833BECE">
            <w:pPr>
              <w:spacing w:line="320" w:lineRule="exact"/>
              <w:rPr>
                <w:rFonts w:ascii="宋体"/>
                <w:kern w:val="0"/>
              </w:rPr>
            </w:pPr>
            <w:r>
              <w:rPr>
                <w:rFonts w:hint="eastAsia" w:ascii="宋体" w:hAnsi="宋体" w:cs="宋体"/>
                <w:kern w:val="0"/>
              </w:rPr>
              <w:t>预决算信息公开</w:t>
            </w:r>
          </w:p>
        </w:tc>
        <w:tc>
          <w:tcPr>
            <w:tcW w:w="567" w:type="dxa"/>
            <w:tcBorders>
              <w:top w:val="nil"/>
              <w:left w:val="nil"/>
              <w:bottom w:val="single" w:color="auto" w:sz="4" w:space="0"/>
              <w:right w:val="single" w:color="auto" w:sz="4" w:space="0"/>
            </w:tcBorders>
            <w:vAlign w:val="center"/>
          </w:tcPr>
          <w:p w14:paraId="642BB0A9">
            <w:pPr>
              <w:spacing w:line="320" w:lineRule="exact"/>
              <w:jc w:val="center"/>
              <w:rPr>
                <w:rFonts w:ascii="宋体"/>
                <w:kern w:val="0"/>
              </w:rPr>
            </w:pPr>
            <w:r>
              <w:rPr>
                <w:rFonts w:hint="eastAsia" w:ascii="宋体" w:hAnsi="宋体" w:cs="宋体"/>
                <w:kern w:val="0"/>
              </w:rPr>
              <w:t>3</w:t>
            </w:r>
          </w:p>
        </w:tc>
        <w:tc>
          <w:tcPr>
            <w:tcW w:w="2551" w:type="dxa"/>
            <w:tcBorders>
              <w:top w:val="nil"/>
              <w:left w:val="nil"/>
              <w:bottom w:val="single" w:color="auto" w:sz="4" w:space="0"/>
              <w:right w:val="single" w:color="auto" w:sz="4" w:space="0"/>
            </w:tcBorders>
            <w:vAlign w:val="center"/>
          </w:tcPr>
          <w:p w14:paraId="7B253CB3">
            <w:pPr>
              <w:spacing w:line="320" w:lineRule="exact"/>
              <w:rPr>
                <w:rFonts w:ascii="宋体"/>
                <w:kern w:val="0"/>
              </w:rPr>
            </w:pPr>
            <w:r>
              <w:rPr>
                <w:rFonts w:hint="eastAsia" w:ascii="宋体" w:hAnsi="宋体" w:cs="宋体"/>
                <w:kern w:val="0"/>
              </w:rPr>
              <w:t>部门（单位）在被评价年度是否按照政府信息公开有关规定公开相关预决算信息，用以反映部门（单位）预决算管理的公开透明情况。</w:t>
            </w:r>
          </w:p>
        </w:tc>
        <w:tc>
          <w:tcPr>
            <w:tcW w:w="7371" w:type="dxa"/>
            <w:tcBorders>
              <w:top w:val="nil"/>
              <w:left w:val="nil"/>
              <w:bottom w:val="single" w:color="auto" w:sz="4" w:space="0"/>
              <w:right w:val="single" w:color="auto" w:sz="4" w:space="0"/>
            </w:tcBorders>
            <w:vAlign w:val="center"/>
          </w:tcPr>
          <w:p w14:paraId="5E96A226">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部门预算公开（1.5分），按以下标准分档计分：</w:t>
            </w:r>
          </w:p>
          <w:p w14:paraId="53D78736">
            <w:pPr>
              <w:spacing w:line="300" w:lineRule="exact"/>
              <w:ind w:firstLine="420" w:firstLineChars="200"/>
              <w:rPr>
                <w:rFonts w:ascii="宋体" w:hAnsi="宋体" w:cs="宋体"/>
                <w:kern w:val="0"/>
              </w:rPr>
            </w:pPr>
            <w:r>
              <w:rPr>
                <w:rFonts w:hint="eastAsia" w:ascii="宋体" w:hAnsi="宋体" w:cs="宋体"/>
                <w:kern w:val="0"/>
              </w:rPr>
              <w:t>（</w:t>
            </w:r>
            <w:r>
              <w:rPr>
                <w:rFonts w:ascii="宋体" w:hAnsi="宋体" w:cs="宋体"/>
                <w:kern w:val="0"/>
              </w:rPr>
              <w:t>1</w:t>
            </w:r>
            <w:r>
              <w:rPr>
                <w:rFonts w:hint="eastAsia" w:ascii="宋体" w:hAnsi="宋体" w:cs="宋体"/>
                <w:kern w:val="0"/>
              </w:rPr>
              <w:t>）按规定内容、时限、范围等各项要求进行公开的，得1.5分。</w:t>
            </w:r>
          </w:p>
          <w:p w14:paraId="0E6B02AE">
            <w:pPr>
              <w:spacing w:line="300" w:lineRule="exact"/>
              <w:ind w:firstLine="420" w:firstLineChars="200"/>
              <w:rPr>
                <w:rFonts w:ascii="宋体" w:hAnsi="宋体" w:cs="宋体"/>
                <w:kern w:val="0"/>
              </w:rPr>
            </w:pPr>
            <w:r>
              <w:rPr>
                <w:rFonts w:hint="eastAsia" w:ascii="宋体" w:hAnsi="宋体" w:cs="宋体"/>
                <w:kern w:val="0"/>
              </w:rPr>
              <w:t>（</w:t>
            </w:r>
            <w:r>
              <w:rPr>
                <w:rFonts w:ascii="宋体" w:hAnsi="宋体" w:cs="宋体"/>
                <w:kern w:val="0"/>
              </w:rPr>
              <w:t>2</w:t>
            </w:r>
            <w:r>
              <w:rPr>
                <w:rFonts w:hint="eastAsia" w:ascii="宋体" w:hAnsi="宋体" w:cs="宋体"/>
                <w:kern w:val="0"/>
              </w:rPr>
              <w:t>）进行了公开，存在不符合时限、内容、范围等要求的，得</w:t>
            </w:r>
            <w:r>
              <w:rPr>
                <w:rFonts w:ascii="宋体" w:hAnsi="宋体" w:cs="宋体"/>
                <w:kern w:val="0"/>
              </w:rPr>
              <w:t>1</w:t>
            </w:r>
            <w:r>
              <w:rPr>
                <w:rFonts w:hint="eastAsia" w:ascii="宋体" w:hAnsi="宋体" w:cs="宋体"/>
                <w:kern w:val="0"/>
              </w:rPr>
              <w:t>分。</w:t>
            </w:r>
          </w:p>
          <w:p w14:paraId="3A527B71">
            <w:pPr>
              <w:spacing w:line="300" w:lineRule="exact"/>
              <w:ind w:firstLine="420" w:firstLineChars="200"/>
              <w:rPr>
                <w:rFonts w:ascii="宋体" w:hAnsi="宋体" w:cs="宋体"/>
                <w:kern w:val="0"/>
              </w:rPr>
            </w:pPr>
            <w:r>
              <w:rPr>
                <w:rFonts w:hint="eastAsia" w:ascii="宋体" w:hAnsi="宋体" w:cs="宋体"/>
                <w:kern w:val="0"/>
              </w:rPr>
              <w:t>（</w:t>
            </w:r>
            <w:r>
              <w:rPr>
                <w:rFonts w:ascii="宋体" w:hAnsi="宋体" w:cs="宋体"/>
                <w:kern w:val="0"/>
              </w:rPr>
              <w:t>3</w:t>
            </w:r>
            <w:r>
              <w:rPr>
                <w:rFonts w:hint="eastAsia" w:ascii="宋体" w:hAnsi="宋体" w:cs="宋体"/>
                <w:kern w:val="0"/>
              </w:rPr>
              <w:t>）没有进行公开的，得</w:t>
            </w:r>
            <w:r>
              <w:rPr>
                <w:rFonts w:ascii="宋体" w:hAnsi="宋体" w:cs="宋体"/>
                <w:kern w:val="0"/>
              </w:rPr>
              <w:t>0</w:t>
            </w:r>
            <w:r>
              <w:rPr>
                <w:rFonts w:hint="eastAsia" w:ascii="宋体" w:hAnsi="宋体" w:cs="宋体"/>
                <w:kern w:val="0"/>
              </w:rPr>
              <w:t>分。</w:t>
            </w:r>
          </w:p>
          <w:p w14:paraId="09567AAA">
            <w:pPr>
              <w:spacing w:line="300" w:lineRule="exact"/>
              <w:ind w:firstLine="420" w:firstLineChars="200"/>
              <w:rPr>
                <w:rFonts w:ascii="宋体" w:hAnsi="宋体" w:cs="宋体"/>
                <w:kern w:val="0"/>
              </w:rPr>
            </w:pPr>
            <w:r>
              <w:rPr>
                <w:rFonts w:ascii="宋体" w:hAnsi="宋体" w:cs="宋体"/>
                <w:kern w:val="0"/>
              </w:rPr>
              <w:t>2.</w:t>
            </w:r>
            <w:r>
              <w:rPr>
                <w:rFonts w:hint="eastAsia" w:ascii="宋体" w:hAnsi="宋体" w:cs="宋体"/>
                <w:kern w:val="0"/>
              </w:rPr>
              <w:t>部门决算公开（1.5分），按以下标准分档计分：</w:t>
            </w:r>
          </w:p>
          <w:p w14:paraId="55AC92B7">
            <w:pPr>
              <w:spacing w:line="300" w:lineRule="exact"/>
              <w:ind w:firstLine="420" w:firstLineChars="200"/>
              <w:rPr>
                <w:rFonts w:ascii="宋体" w:hAnsi="宋体" w:cs="宋体"/>
                <w:kern w:val="0"/>
              </w:rPr>
            </w:pPr>
            <w:r>
              <w:rPr>
                <w:rFonts w:hint="eastAsia" w:ascii="宋体" w:hAnsi="宋体" w:cs="宋体"/>
                <w:kern w:val="0"/>
              </w:rPr>
              <w:t>（</w:t>
            </w:r>
            <w:r>
              <w:rPr>
                <w:rFonts w:ascii="宋体" w:hAnsi="宋体" w:cs="宋体"/>
                <w:kern w:val="0"/>
              </w:rPr>
              <w:t>1</w:t>
            </w:r>
            <w:r>
              <w:rPr>
                <w:rFonts w:hint="eastAsia" w:ascii="宋体" w:hAnsi="宋体" w:cs="宋体"/>
                <w:kern w:val="0"/>
              </w:rPr>
              <w:t>）按规定内容、时限、范围等各项要求进行公开的，得1.5分。</w:t>
            </w:r>
          </w:p>
          <w:p w14:paraId="588550D8">
            <w:pPr>
              <w:spacing w:line="300" w:lineRule="exact"/>
              <w:ind w:firstLine="420" w:firstLineChars="200"/>
              <w:rPr>
                <w:rFonts w:ascii="宋体" w:hAnsi="宋体" w:cs="宋体"/>
                <w:kern w:val="0"/>
              </w:rPr>
            </w:pPr>
            <w:r>
              <w:rPr>
                <w:rFonts w:hint="eastAsia" w:ascii="宋体" w:hAnsi="宋体" w:cs="宋体"/>
                <w:kern w:val="0"/>
              </w:rPr>
              <w:t>（</w:t>
            </w:r>
            <w:r>
              <w:rPr>
                <w:rFonts w:ascii="宋体" w:hAnsi="宋体" w:cs="宋体"/>
                <w:kern w:val="0"/>
              </w:rPr>
              <w:t>2</w:t>
            </w:r>
            <w:r>
              <w:rPr>
                <w:rFonts w:hint="eastAsia" w:ascii="宋体" w:hAnsi="宋体" w:cs="宋体"/>
                <w:kern w:val="0"/>
              </w:rPr>
              <w:t>）进行了公开，存在不符合时限、内容、范围等要求的，得</w:t>
            </w:r>
            <w:r>
              <w:rPr>
                <w:rFonts w:ascii="宋体" w:hAnsi="宋体" w:cs="宋体"/>
                <w:kern w:val="0"/>
              </w:rPr>
              <w:t>1</w:t>
            </w:r>
            <w:r>
              <w:rPr>
                <w:rFonts w:hint="eastAsia" w:ascii="宋体" w:hAnsi="宋体" w:cs="宋体"/>
                <w:kern w:val="0"/>
              </w:rPr>
              <w:t>分。</w:t>
            </w:r>
          </w:p>
          <w:p w14:paraId="0D7B4A8F">
            <w:pPr>
              <w:spacing w:line="300" w:lineRule="exact"/>
              <w:ind w:firstLine="420" w:firstLineChars="200"/>
              <w:rPr>
                <w:rFonts w:ascii="宋体" w:hAnsi="宋体" w:cs="宋体"/>
                <w:kern w:val="0"/>
              </w:rPr>
            </w:pPr>
            <w:r>
              <w:rPr>
                <w:rFonts w:hint="eastAsia" w:ascii="宋体" w:hAnsi="宋体" w:cs="宋体"/>
                <w:kern w:val="0"/>
              </w:rPr>
              <w:t>（</w:t>
            </w:r>
            <w:r>
              <w:rPr>
                <w:rFonts w:ascii="宋体" w:hAnsi="宋体" w:cs="宋体"/>
                <w:kern w:val="0"/>
              </w:rPr>
              <w:t>3</w:t>
            </w:r>
            <w:r>
              <w:rPr>
                <w:rFonts w:hint="eastAsia" w:ascii="宋体" w:hAnsi="宋体" w:cs="宋体"/>
                <w:kern w:val="0"/>
              </w:rPr>
              <w:t>）没有进行公开的，得</w:t>
            </w:r>
            <w:r>
              <w:rPr>
                <w:rFonts w:ascii="宋体" w:hAnsi="宋体" w:cs="宋体"/>
                <w:kern w:val="0"/>
              </w:rPr>
              <w:t>0</w:t>
            </w:r>
            <w:r>
              <w:rPr>
                <w:rFonts w:hint="eastAsia" w:ascii="宋体" w:hAnsi="宋体" w:cs="宋体"/>
                <w:kern w:val="0"/>
              </w:rPr>
              <w:t>分。</w:t>
            </w:r>
          </w:p>
          <w:p w14:paraId="4DE80C7E">
            <w:pPr>
              <w:spacing w:line="300" w:lineRule="exact"/>
              <w:ind w:firstLine="420" w:firstLineChars="200"/>
              <w:rPr>
                <w:rFonts w:ascii="宋体" w:hAnsi="宋体" w:cs="宋体"/>
                <w:kern w:val="0"/>
              </w:rPr>
            </w:pPr>
            <w:r>
              <w:rPr>
                <w:rFonts w:hint="eastAsia" w:ascii="宋体" w:hAnsi="宋体" w:cs="宋体"/>
                <w:kern w:val="0"/>
              </w:rPr>
              <w:t>3.涉密部门（单位）按规定不需要公开相关预决算信息的直接得分。</w:t>
            </w:r>
          </w:p>
        </w:tc>
        <w:tc>
          <w:tcPr>
            <w:tcW w:w="851" w:type="dxa"/>
            <w:tcBorders>
              <w:top w:val="nil"/>
              <w:left w:val="nil"/>
              <w:bottom w:val="single" w:color="auto" w:sz="4" w:space="0"/>
              <w:right w:val="single" w:color="auto" w:sz="4" w:space="0"/>
            </w:tcBorders>
            <w:vAlign w:val="center"/>
          </w:tcPr>
          <w:p w14:paraId="5A340E9F">
            <w:pPr>
              <w:spacing w:line="320" w:lineRule="exact"/>
              <w:jc w:val="center"/>
              <w:rPr>
                <w:rFonts w:ascii="宋体" w:hAnsi="宋体" w:cs="宋体"/>
                <w:kern w:val="0"/>
              </w:rPr>
            </w:pPr>
            <w:r>
              <w:rPr>
                <w:rFonts w:hint="eastAsia" w:ascii="宋体" w:hAnsi="宋体" w:cs="宋体"/>
                <w:kern w:val="0"/>
              </w:rPr>
              <w:t>3</w:t>
            </w:r>
          </w:p>
        </w:tc>
      </w:tr>
      <w:tr w14:paraId="38671006">
        <w:tblPrEx>
          <w:tblCellMar>
            <w:top w:w="0" w:type="dxa"/>
            <w:left w:w="108" w:type="dxa"/>
            <w:bottom w:w="0" w:type="dxa"/>
            <w:right w:w="108" w:type="dxa"/>
          </w:tblCellMar>
        </w:tblPrEx>
        <w:trPr>
          <w:trHeight w:val="1491" w:hRule="atLeast"/>
        </w:trPr>
        <w:tc>
          <w:tcPr>
            <w:tcW w:w="577" w:type="dxa"/>
            <w:vMerge w:val="continue"/>
            <w:tcBorders>
              <w:top w:val="nil"/>
              <w:left w:val="single" w:color="auto" w:sz="4" w:space="0"/>
              <w:bottom w:val="single" w:color="auto" w:sz="4" w:space="0"/>
              <w:right w:val="single" w:color="auto" w:sz="4" w:space="0"/>
            </w:tcBorders>
            <w:vAlign w:val="center"/>
          </w:tcPr>
          <w:p w14:paraId="1C4B5D44">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1245C156">
            <w:pPr>
              <w:spacing w:line="320" w:lineRule="exact"/>
              <w:rPr>
                <w:rFonts w:ascii="宋体"/>
                <w:kern w:val="0"/>
              </w:rPr>
            </w:pPr>
          </w:p>
        </w:tc>
        <w:tc>
          <w:tcPr>
            <w:tcW w:w="547" w:type="dxa"/>
            <w:vMerge w:val="restart"/>
            <w:tcBorders>
              <w:top w:val="nil"/>
              <w:left w:val="single" w:color="auto" w:sz="4" w:space="0"/>
              <w:bottom w:val="single" w:color="auto" w:sz="4" w:space="0"/>
              <w:right w:val="single" w:color="auto" w:sz="4" w:space="0"/>
            </w:tcBorders>
            <w:vAlign w:val="center"/>
          </w:tcPr>
          <w:p w14:paraId="1916CC99">
            <w:pPr>
              <w:spacing w:line="320" w:lineRule="exact"/>
              <w:rPr>
                <w:rFonts w:ascii="宋体"/>
                <w:kern w:val="0"/>
              </w:rPr>
            </w:pPr>
            <w:r>
              <w:rPr>
                <w:rFonts w:hint="eastAsia" w:ascii="宋体" w:hAnsi="宋体" w:cs="宋体"/>
                <w:kern w:val="0"/>
              </w:rPr>
              <w:t>项目管理</w:t>
            </w:r>
          </w:p>
        </w:tc>
        <w:tc>
          <w:tcPr>
            <w:tcW w:w="571" w:type="dxa"/>
            <w:vMerge w:val="restart"/>
            <w:tcBorders>
              <w:top w:val="nil"/>
              <w:left w:val="single" w:color="auto" w:sz="4" w:space="0"/>
              <w:bottom w:val="single" w:color="auto" w:sz="4" w:space="0"/>
              <w:right w:val="single" w:color="auto" w:sz="4" w:space="0"/>
            </w:tcBorders>
            <w:vAlign w:val="center"/>
          </w:tcPr>
          <w:p w14:paraId="1AB3C095">
            <w:pPr>
              <w:spacing w:line="320" w:lineRule="exact"/>
              <w:jc w:val="center"/>
              <w:rPr>
                <w:rFonts w:ascii="宋体"/>
                <w:kern w:val="0"/>
              </w:rPr>
            </w:pPr>
            <w:r>
              <w:rPr>
                <w:rFonts w:hint="eastAsia" w:ascii="宋体" w:hAnsi="宋体" w:cs="宋体"/>
                <w:kern w:val="0"/>
              </w:rPr>
              <w:t>4</w:t>
            </w:r>
          </w:p>
        </w:tc>
        <w:tc>
          <w:tcPr>
            <w:tcW w:w="705" w:type="dxa"/>
            <w:tcBorders>
              <w:top w:val="nil"/>
              <w:left w:val="nil"/>
              <w:bottom w:val="single" w:color="auto" w:sz="4" w:space="0"/>
              <w:right w:val="single" w:color="auto" w:sz="4" w:space="0"/>
            </w:tcBorders>
            <w:vAlign w:val="center"/>
          </w:tcPr>
          <w:p w14:paraId="7CEFD40A">
            <w:pPr>
              <w:spacing w:line="320" w:lineRule="exact"/>
              <w:rPr>
                <w:rFonts w:ascii="宋体"/>
                <w:kern w:val="0"/>
              </w:rPr>
            </w:pPr>
            <w:r>
              <w:rPr>
                <w:rFonts w:hint="eastAsia" w:ascii="宋体" w:hAnsi="宋体" w:cs="宋体"/>
                <w:kern w:val="0"/>
              </w:rPr>
              <w:t>项目实施程序</w:t>
            </w:r>
          </w:p>
        </w:tc>
        <w:tc>
          <w:tcPr>
            <w:tcW w:w="567" w:type="dxa"/>
            <w:tcBorders>
              <w:top w:val="nil"/>
              <w:left w:val="nil"/>
              <w:bottom w:val="single" w:color="auto" w:sz="4" w:space="0"/>
              <w:right w:val="single" w:color="auto" w:sz="4" w:space="0"/>
            </w:tcBorders>
            <w:vAlign w:val="center"/>
          </w:tcPr>
          <w:p w14:paraId="17A68184">
            <w:pPr>
              <w:spacing w:line="320" w:lineRule="exact"/>
              <w:jc w:val="center"/>
              <w:rPr>
                <w:rFonts w:ascii="宋体"/>
                <w:kern w:val="0"/>
              </w:rPr>
            </w:pPr>
            <w:r>
              <w:rPr>
                <w:rFonts w:ascii="宋体" w:hAnsi="宋体" w:cs="宋体"/>
                <w:kern w:val="0"/>
              </w:rPr>
              <w:t>2</w:t>
            </w:r>
          </w:p>
        </w:tc>
        <w:tc>
          <w:tcPr>
            <w:tcW w:w="2551" w:type="dxa"/>
            <w:tcBorders>
              <w:top w:val="nil"/>
              <w:left w:val="nil"/>
              <w:bottom w:val="single" w:color="auto" w:sz="4" w:space="0"/>
              <w:right w:val="single" w:color="auto" w:sz="4" w:space="0"/>
            </w:tcBorders>
            <w:vAlign w:val="center"/>
          </w:tcPr>
          <w:p w14:paraId="69C35E6C">
            <w:pPr>
              <w:spacing w:line="320" w:lineRule="exact"/>
              <w:rPr>
                <w:rFonts w:ascii="宋体"/>
                <w:kern w:val="0"/>
              </w:rPr>
            </w:pPr>
            <w:r>
              <w:rPr>
                <w:rFonts w:hint="eastAsia" w:ascii="宋体" w:hAnsi="宋体" w:cs="宋体"/>
                <w:kern w:val="0"/>
              </w:rPr>
              <w:t>部门（单位）所有项目支出实施过程是否规范</w:t>
            </w:r>
            <w:r>
              <w:rPr>
                <w:rFonts w:ascii="宋体" w:cs="宋体"/>
                <w:kern w:val="0"/>
              </w:rPr>
              <w:t>,</w:t>
            </w:r>
            <w:r>
              <w:rPr>
                <w:rFonts w:hint="eastAsia" w:ascii="宋体" w:hAnsi="宋体" w:cs="宋体"/>
                <w:kern w:val="0"/>
              </w:rPr>
              <w:t>包括是否符合申报条件；申报、批复程序是否符合相关管理办法；项目招投标、调整、完成验收等是否履行相应手续等。</w:t>
            </w:r>
          </w:p>
        </w:tc>
        <w:tc>
          <w:tcPr>
            <w:tcW w:w="7371" w:type="dxa"/>
            <w:tcBorders>
              <w:top w:val="nil"/>
              <w:left w:val="nil"/>
              <w:bottom w:val="single" w:color="auto" w:sz="4" w:space="0"/>
              <w:right w:val="single" w:color="auto" w:sz="4" w:space="0"/>
            </w:tcBorders>
            <w:vAlign w:val="center"/>
          </w:tcPr>
          <w:p w14:paraId="070A3B4A">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项目的设立、调整按规定履行报批程序（</w:t>
            </w:r>
            <w:r>
              <w:rPr>
                <w:rFonts w:ascii="宋体" w:hAnsi="宋体" w:cs="宋体"/>
                <w:kern w:val="0"/>
              </w:rPr>
              <w:t>1</w:t>
            </w:r>
            <w:r>
              <w:rPr>
                <w:rFonts w:hint="eastAsia" w:ascii="宋体" w:hAnsi="宋体" w:cs="宋体"/>
                <w:kern w:val="0"/>
              </w:rPr>
              <w:t>分）；</w:t>
            </w:r>
          </w:p>
          <w:p w14:paraId="2E91487F">
            <w:pPr>
              <w:spacing w:line="300" w:lineRule="exact"/>
              <w:ind w:firstLine="420" w:firstLineChars="200"/>
              <w:rPr>
                <w:rFonts w:ascii="宋体" w:hAnsi="宋体" w:cs="宋体"/>
                <w:kern w:val="0"/>
              </w:rPr>
            </w:pPr>
            <w:r>
              <w:rPr>
                <w:rFonts w:ascii="宋体" w:hAnsi="宋体" w:cs="宋体"/>
                <w:kern w:val="0"/>
              </w:rPr>
              <w:t>2.</w:t>
            </w:r>
            <w:r>
              <w:rPr>
                <w:rFonts w:hint="eastAsia" w:ascii="宋体" w:hAnsi="宋体" w:cs="宋体"/>
                <w:kern w:val="0"/>
              </w:rPr>
              <w:t>项目招投标、建设、验收以及方案实施均严格执行相关制度规定（</w:t>
            </w:r>
            <w:r>
              <w:rPr>
                <w:rFonts w:ascii="宋体" w:hAnsi="宋体" w:cs="宋体"/>
                <w:kern w:val="0"/>
              </w:rPr>
              <w:t>1</w:t>
            </w:r>
            <w:r>
              <w:rPr>
                <w:rFonts w:hint="eastAsia" w:ascii="宋体" w:hAnsi="宋体" w:cs="宋体"/>
                <w:kern w:val="0"/>
              </w:rPr>
              <w:t>分）。</w:t>
            </w:r>
          </w:p>
        </w:tc>
        <w:tc>
          <w:tcPr>
            <w:tcW w:w="851" w:type="dxa"/>
            <w:tcBorders>
              <w:top w:val="nil"/>
              <w:left w:val="nil"/>
              <w:bottom w:val="single" w:color="auto" w:sz="4" w:space="0"/>
              <w:right w:val="single" w:color="auto" w:sz="4" w:space="0"/>
            </w:tcBorders>
            <w:vAlign w:val="center"/>
          </w:tcPr>
          <w:p w14:paraId="1696F5F9">
            <w:pPr>
              <w:spacing w:line="320" w:lineRule="exact"/>
              <w:jc w:val="center"/>
              <w:rPr>
                <w:rFonts w:ascii="宋体" w:hAnsi="宋体" w:cs="宋体"/>
                <w:kern w:val="0"/>
              </w:rPr>
            </w:pPr>
            <w:r>
              <w:rPr>
                <w:rFonts w:hint="eastAsia" w:ascii="宋体" w:hAnsi="宋体" w:cs="宋体"/>
                <w:kern w:val="0"/>
              </w:rPr>
              <w:t>2</w:t>
            </w:r>
          </w:p>
        </w:tc>
      </w:tr>
      <w:tr w14:paraId="78B444C3">
        <w:tblPrEx>
          <w:tblCellMar>
            <w:top w:w="0" w:type="dxa"/>
            <w:left w:w="108" w:type="dxa"/>
            <w:bottom w:w="0" w:type="dxa"/>
            <w:right w:w="108" w:type="dxa"/>
          </w:tblCellMar>
        </w:tblPrEx>
        <w:trPr>
          <w:trHeight w:val="1527" w:hRule="atLeast"/>
        </w:trPr>
        <w:tc>
          <w:tcPr>
            <w:tcW w:w="577" w:type="dxa"/>
            <w:vMerge w:val="continue"/>
            <w:tcBorders>
              <w:top w:val="nil"/>
              <w:left w:val="single" w:color="auto" w:sz="4" w:space="0"/>
              <w:bottom w:val="single" w:color="auto" w:sz="4" w:space="0"/>
              <w:right w:val="single" w:color="auto" w:sz="4" w:space="0"/>
            </w:tcBorders>
            <w:vAlign w:val="center"/>
          </w:tcPr>
          <w:p w14:paraId="64DE835B">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47621758">
            <w:pPr>
              <w:spacing w:line="320" w:lineRule="exact"/>
              <w:rPr>
                <w:rFonts w:ascii="宋体"/>
                <w:kern w:val="0"/>
              </w:rPr>
            </w:pPr>
          </w:p>
        </w:tc>
        <w:tc>
          <w:tcPr>
            <w:tcW w:w="547" w:type="dxa"/>
            <w:vMerge w:val="continue"/>
            <w:tcBorders>
              <w:top w:val="nil"/>
              <w:left w:val="single" w:color="auto" w:sz="4" w:space="0"/>
              <w:bottom w:val="single" w:color="auto" w:sz="4" w:space="0"/>
              <w:right w:val="single" w:color="auto" w:sz="4" w:space="0"/>
            </w:tcBorders>
            <w:vAlign w:val="center"/>
          </w:tcPr>
          <w:p w14:paraId="19266A48">
            <w:pPr>
              <w:spacing w:line="320" w:lineRule="exact"/>
              <w:rPr>
                <w:rFonts w:ascii="宋体"/>
                <w:kern w:val="0"/>
              </w:rPr>
            </w:pPr>
          </w:p>
        </w:tc>
        <w:tc>
          <w:tcPr>
            <w:tcW w:w="571" w:type="dxa"/>
            <w:vMerge w:val="continue"/>
            <w:tcBorders>
              <w:top w:val="nil"/>
              <w:left w:val="single" w:color="auto" w:sz="4" w:space="0"/>
              <w:bottom w:val="single" w:color="auto" w:sz="4" w:space="0"/>
              <w:right w:val="single" w:color="auto" w:sz="4" w:space="0"/>
            </w:tcBorders>
            <w:vAlign w:val="center"/>
          </w:tcPr>
          <w:p w14:paraId="71C8016D">
            <w:pPr>
              <w:spacing w:line="320" w:lineRule="exact"/>
              <w:jc w:val="center"/>
              <w:rPr>
                <w:rFonts w:ascii="宋体"/>
                <w:kern w:val="0"/>
              </w:rPr>
            </w:pPr>
          </w:p>
        </w:tc>
        <w:tc>
          <w:tcPr>
            <w:tcW w:w="705" w:type="dxa"/>
            <w:tcBorders>
              <w:top w:val="nil"/>
              <w:left w:val="nil"/>
              <w:bottom w:val="single" w:color="auto" w:sz="4" w:space="0"/>
              <w:right w:val="single" w:color="auto" w:sz="4" w:space="0"/>
            </w:tcBorders>
            <w:vAlign w:val="center"/>
          </w:tcPr>
          <w:p w14:paraId="20EBB86C">
            <w:pPr>
              <w:spacing w:line="320" w:lineRule="exact"/>
              <w:rPr>
                <w:rFonts w:ascii="宋体" w:hAnsi="宋体" w:cs="宋体"/>
                <w:kern w:val="0"/>
              </w:rPr>
            </w:pPr>
            <w:r>
              <w:rPr>
                <w:rFonts w:hint="eastAsia" w:ascii="宋体" w:hAnsi="宋体" w:cs="宋体"/>
                <w:kern w:val="0"/>
              </w:rPr>
              <w:t>项目</w:t>
            </w:r>
          </w:p>
          <w:p w14:paraId="0E0ECA99">
            <w:pPr>
              <w:spacing w:line="320" w:lineRule="exact"/>
              <w:rPr>
                <w:rFonts w:ascii="宋体"/>
                <w:kern w:val="0"/>
              </w:rPr>
            </w:pPr>
            <w:r>
              <w:rPr>
                <w:rFonts w:hint="eastAsia" w:ascii="宋体" w:hAnsi="宋体" w:cs="宋体"/>
                <w:kern w:val="0"/>
              </w:rPr>
              <w:t>监管</w:t>
            </w:r>
          </w:p>
        </w:tc>
        <w:tc>
          <w:tcPr>
            <w:tcW w:w="567" w:type="dxa"/>
            <w:tcBorders>
              <w:top w:val="nil"/>
              <w:left w:val="nil"/>
              <w:bottom w:val="single" w:color="auto" w:sz="4" w:space="0"/>
              <w:right w:val="single" w:color="auto" w:sz="4" w:space="0"/>
            </w:tcBorders>
            <w:vAlign w:val="center"/>
          </w:tcPr>
          <w:p w14:paraId="687F0E5F">
            <w:pPr>
              <w:spacing w:line="320" w:lineRule="exact"/>
              <w:jc w:val="center"/>
              <w:rPr>
                <w:rFonts w:ascii="宋体"/>
                <w:kern w:val="0"/>
              </w:rPr>
            </w:pPr>
            <w:r>
              <w:rPr>
                <w:rFonts w:hint="eastAsia" w:ascii="宋体" w:hAnsi="宋体" w:cs="宋体"/>
                <w:kern w:val="0"/>
              </w:rPr>
              <w:t>2</w:t>
            </w:r>
          </w:p>
        </w:tc>
        <w:tc>
          <w:tcPr>
            <w:tcW w:w="2551" w:type="dxa"/>
            <w:tcBorders>
              <w:top w:val="nil"/>
              <w:left w:val="nil"/>
              <w:bottom w:val="single" w:color="auto" w:sz="4" w:space="0"/>
              <w:right w:val="single" w:color="auto" w:sz="4" w:space="0"/>
            </w:tcBorders>
            <w:vAlign w:val="center"/>
          </w:tcPr>
          <w:p w14:paraId="6D573497">
            <w:pPr>
              <w:spacing w:line="320" w:lineRule="exact"/>
              <w:rPr>
                <w:rFonts w:ascii="宋体"/>
                <w:kern w:val="0"/>
              </w:rPr>
            </w:pPr>
            <w:r>
              <w:rPr>
                <w:rFonts w:hint="eastAsia" w:ascii="宋体" w:hAnsi="宋体" w:cs="宋体"/>
                <w:kern w:val="0"/>
              </w:rPr>
              <w:t>部门（单位）对所实施项目（包括部门主管的专项资金和专项经费分配给区实施的项目）的检查、监控、督促整改等管理情况。</w:t>
            </w:r>
          </w:p>
        </w:tc>
        <w:tc>
          <w:tcPr>
            <w:tcW w:w="7371" w:type="dxa"/>
            <w:tcBorders>
              <w:top w:val="nil"/>
              <w:left w:val="nil"/>
              <w:bottom w:val="single" w:color="auto" w:sz="4" w:space="0"/>
              <w:right w:val="single" w:color="auto" w:sz="4" w:space="0"/>
            </w:tcBorders>
            <w:vAlign w:val="center"/>
          </w:tcPr>
          <w:p w14:paraId="45897C24">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资金使用单位、基层资金管理单位建立有效资金管理和绩效运行监控机制，且执行情况良好（1分）；</w:t>
            </w:r>
          </w:p>
          <w:p w14:paraId="466C5183">
            <w:pPr>
              <w:spacing w:line="300" w:lineRule="exact"/>
              <w:ind w:firstLine="420" w:firstLineChars="200"/>
              <w:rPr>
                <w:rFonts w:ascii="宋体" w:hAnsi="宋体" w:cs="宋体"/>
                <w:kern w:val="0"/>
              </w:rPr>
            </w:pPr>
            <w:r>
              <w:rPr>
                <w:rFonts w:ascii="宋体" w:hAnsi="宋体" w:cs="宋体"/>
                <w:kern w:val="0"/>
              </w:rPr>
              <w:t xml:space="preserve"> 2.</w:t>
            </w:r>
            <w:r>
              <w:rPr>
                <w:rFonts w:hint="eastAsia" w:ascii="宋体" w:hAnsi="宋体" w:cs="宋体"/>
                <w:kern w:val="0"/>
              </w:rPr>
              <w:t>各主管部门按规定对主管的财政资金（含专项资金和专项经费）开展有效的检查、监控、督促整改（1分），如无法提供开展检查监督相关证明材料，或被评价年度部门主管的专项资金绩效评价结果为差的，得0分。</w:t>
            </w:r>
          </w:p>
        </w:tc>
        <w:tc>
          <w:tcPr>
            <w:tcW w:w="851" w:type="dxa"/>
            <w:tcBorders>
              <w:top w:val="nil"/>
              <w:left w:val="nil"/>
              <w:bottom w:val="single" w:color="auto" w:sz="4" w:space="0"/>
              <w:right w:val="single" w:color="auto" w:sz="4" w:space="0"/>
            </w:tcBorders>
            <w:vAlign w:val="center"/>
          </w:tcPr>
          <w:p w14:paraId="447FDFAA">
            <w:pPr>
              <w:spacing w:line="320" w:lineRule="exact"/>
              <w:ind w:firstLine="210" w:firstLineChars="100"/>
              <w:rPr>
                <w:rFonts w:ascii="宋体" w:hAnsi="宋体" w:cs="宋体"/>
                <w:kern w:val="0"/>
              </w:rPr>
            </w:pPr>
            <w:r>
              <w:rPr>
                <w:rFonts w:hint="eastAsia" w:ascii="宋体" w:hAnsi="宋体" w:cs="宋体"/>
                <w:kern w:val="0"/>
              </w:rPr>
              <w:t>2</w:t>
            </w:r>
          </w:p>
        </w:tc>
      </w:tr>
      <w:tr w14:paraId="5D2A7A49">
        <w:tblPrEx>
          <w:tblCellMar>
            <w:top w:w="0" w:type="dxa"/>
            <w:left w:w="108" w:type="dxa"/>
            <w:bottom w:w="0" w:type="dxa"/>
            <w:right w:w="108" w:type="dxa"/>
          </w:tblCellMar>
        </w:tblPrEx>
        <w:trPr>
          <w:trHeight w:val="1369" w:hRule="atLeast"/>
        </w:trPr>
        <w:tc>
          <w:tcPr>
            <w:tcW w:w="577" w:type="dxa"/>
            <w:vMerge w:val="continue"/>
            <w:tcBorders>
              <w:top w:val="nil"/>
              <w:left w:val="single" w:color="auto" w:sz="4" w:space="0"/>
              <w:bottom w:val="single" w:color="auto" w:sz="4" w:space="0"/>
              <w:right w:val="single" w:color="auto" w:sz="4" w:space="0"/>
            </w:tcBorders>
            <w:vAlign w:val="center"/>
          </w:tcPr>
          <w:p w14:paraId="36BEDC09">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530C0E06">
            <w:pPr>
              <w:spacing w:line="320" w:lineRule="exact"/>
              <w:rPr>
                <w:rFonts w:ascii="宋体"/>
                <w:kern w:val="0"/>
              </w:rPr>
            </w:pPr>
          </w:p>
        </w:tc>
        <w:tc>
          <w:tcPr>
            <w:tcW w:w="547" w:type="dxa"/>
            <w:vMerge w:val="restart"/>
            <w:tcBorders>
              <w:top w:val="nil"/>
              <w:left w:val="single" w:color="auto" w:sz="4" w:space="0"/>
              <w:bottom w:val="single" w:color="auto" w:sz="4" w:space="0"/>
              <w:right w:val="single" w:color="auto" w:sz="4" w:space="0"/>
            </w:tcBorders>
            <w:vAlign w:val="center"/>
          </w:tcPr>
          <w:p w14:paraId="1082E455">
            <w:pPr>
              <w:spacing w:line="320" w:lineRule="exact"/>
              <w:rPr>
                <w:rFonts w:ascii="宋体"/>
                <w:kern w:val="0"/>
              </w:rPr>
            </w:pPr>
            <w:r>
              <w:rPr>
                <w:rFonts w:hint="eastAsia" w:ascii="宋体" w:hAnsi="宋体" w:cs="宋体"/>
                <w:kern w:val="0"/>
              </w:rPr>
              <w:t>资产管理</w:t>
            </w:r>
          </w:p>
        </w:tc>
        <w:tc>
          <w:tcPr>
            <w:tcW w:w="571" w:type="dxa"/>
            <w:vMerge w:val="restart"/>
            <w:tcBorders>
              <w:top w:val="nil"/>
              <w:left w:val="single" w:color="auto" w:sz="4" w:space="0"/>
              <w:bottom w:val="single" w:color="auto" w:sz="4" w:space="0"/>
              <w:right w:val="single" w:color="auto" w:sz="4" w:space="0"/>
            </w:tcBorders>
            <w:vAlign w:val="center"/>
          </w:tcPr>
          <w:p w14:paraId="087E56CA">
            <w:pPr>
              <w:spacing w:line="320" w:lineRule="exact"/>
              <w:jc w:val="center"/>
              <w:rPr>
                <w:rFonts w:ascii="宋体"/>
                <w:kern w:val="0"/>
              </w:rPr>
            </w:pPr>
            <w:r>
              <w:rPr>
                <w:rFonts w:hint="eastAsia" w:ascii="宋体" w:hAnsi="宋体" w:cs="宋体"/>
                <w:kern w:val="0"/>
              </w:rPr>
              <w:t>3</w:t>
            </w:r>
          </w:p>
        </w:tc>
        <w:tc>
          <w:tcPr>
            <w:tcW w:w="705" w:type="dxa"/>
            <w:tcBorders>
              <w:top w:val="nil"/>
              <w:left w:val="nil"/>
              <w:bottom w:val="single" w:color="auto" w:sz="4" w:space="0"/>
              <w:right w:val="single" w:color="auto" w:sz="4" w:space="0"/>
            </w:tcBorders>
            <w:vAlign w:val="center"/>
          </w:tcPr>
          <w:p w14:paraId="71D448EA">
            <w:pPr>
              <w:spacing w:line="320" w:lineRule="exact"/>
              <w:rPr>
                <w:rFonts w:ascii="宋体"/>
                <w:kern w:val="0"/>
              </w:rPr>
            </w:pPr>
            <w:r>
              <w:rPr>
                <w:rFonts w:hint="eastAsia" w:ascii="宋体" w:hAnsi="宋体" w:cs="宋体"/>
                <w:kern w:val="0"/>
              </w:rPr>
              <w:t>资产管理安全性</w:t>
            </w:r>
          </w:p>
        </w:tc>
        <w:tc>
          <w:tcPr>
            <w:tcW w:w="567" w:type="dxa"/>
            <w:tcBorders>
              <w:top w:val="nil"/>
              <w:left w:val="nil"/>
              <w:bottom w:val="single" w:color="auto" w:sz="4" w:space="0"/>
              <w:right w:val="single" w:color="auto" w:sz="4" w:space="0"/>
            </w:tcBorders>
            <w:vAlign w:val="center"/>
          </w:tcPr>
          <w:p w14:paraId="77FE286C">
            <w:pPr>
              <w:spacing w:line="320" w:lineRule="exact"/>
              <w:jc w:val="center"/>
              <w:rPr>
                <w:rFonts w:ascii="宋体"/>
                <w:kern w:val="0"/>
              </w:rPr>
            </w:pPr>
            <w:r>
              <w:rPr>
                <w:rFonts w:ascii="宋体" w:hAnsi="宋体" w:cs="宋体"/>
                <w:kern w:val="0"/>
              </w:rPr>
              <w:t>2</w:t>
            </w:r>
          </w:p>
        </w:tc>
        <w:tc>
          <w:tcPr>
            <w:tcW w:w="2551" w:type="dxa"/>
            <w:tcBorders>
              <w:top w:val="nil"/>
              <w:left w:val="nil"/>
              <w:bottom w:val="single" w:color="auto" w:sz="4" w:space="0"/>
              <w:right w:val="single" w:color="auto" w:sz="4" w:space="0"/>
            </w:tcBorders>
            <w:vAlign w:val="center"/>
          </w:tcPr>
          <w:p w14:paraId="6C61BB55">
            <w:pPr>
              <w:spacing w:line="320" w:lineRule="exact"/>
              <w:rPr>
                <w:rFonts w:ascii="宋体"/>
                <w:kern w:val="0"/>
              </w:rPr>
            </w:pPr>
            <w:r>
              <w:rPr>
                <w:rFonts w:hint="eastAsia" w:ascii="宋体" w:hAnsi="宋体" w:cs="宋体"/>
                <w:kern w:val="0"/>
              </w:rPr>
              <w:t>部门（单位）的资产是否保存完整、使用合规、配置合理、处置规范、收入及时足额上缴，用于反映和考核部门（单位）资产安全运行情况。</w:t>
            </w:r>
          </w:p>
        </w:tc>
        <w:tc>
          <w:tcPr>
            <w:tcW w:w="7371" w:type="dxa"/>
            <w:tcBorders>
              <w:top w:val="nil"/>
              <w:left w:val="nil"/>
              <w:bottom w:val="single" w:color="auto" w:sz="4" w:space="0"/>
              <w:right w:val="single" w:color="auto" w:sz="4" w:space="0"/>
            </w:tcBorders>
            <w:vAlign w:val="center"/>
          </w:tcPr>
          <w:p w14:paraId="7C5C8EB5">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资产配置合理、保管完整，账实相符（</w:t>
            </w:r>
            <w:r>
              <w:rPr>
                <w:rFonts w:ascii="宋体" w:hAnsi="宋体" w:cs="宋体"/>
                <w:kern w:val="0"/>
              </w:rPr>
              <w:t>1</w:t>
            </w:r>
            <w:r>
              <w:rPr>
                <w:rFonts w:hint="eastAsia" w:ascii="宋体" w:hAnsi="宋体" w:cs="宋体"/>
                <w:kern w:val="0"/>
              </w:rPr>
              <w:t>分）；</w:t>
            </w:r>
          </w:p>
          <w:p w14:paraId="05DBA613">
            <w:pPr>
              <w:spacing w:line="300" w:lineRule="exact"/>
              <w:ind w:firstLine="210" w:firstLineChars="100"/>
              <w:rPr>
                <w:rFonts w:ascii="宋体" w:hAnsi="宋体" w:cs="宋体"/>
                <w:kern w:val="0"/>
              </w:rPr>
            </w:pPr>
            <w:r>
              <w:rPr>
                <w:rFonts w:ascii="宋体" w:hAnsi="宋体" w:cs="宋体"/>
                <w:kern w:val="0"/>
              </w:rPr>
              <w:t xml:space="preserve">  2.</w:t>
            </w:r>
            <w:r>
              <w:rPr>
                <w:rFonts w:hint="eastAsia" w:ascii="宋体" w:hAnsi="宋体" w:cs="宋体"/>
                <w:kern w:val="0"/>
              </w:rPr>
              <w:t>资产处置规范，有偿使用及处置收入及时足额上缴（</w:t>
            </w:r>
            <w:r>
              <w:rPr>
                <w:rFonts w:ascii="宋体" w:hAnsi="宋体" w:cs="宋体"/>
                <w:kern w:val="0"/>
              </w:rPr>
              <w:t>1</w:t>
            </w:r>
            <w:r>
              <w:rPr>
                <w:rFonts w:hint="eastAsia" w:ascii="宋体" w:hAnsi="宋体" w:cs="宋体"/>
                <w:kern w:val="0"/>
              </w:rPr>
              <w:t>分）。</w:t>
            </w:r>
          </w:p>
        </w:tc>
        <w:tc>
          <w:tcPr>
            <w:tcW w:w="851" w:type="dxa"/>
            <w:tcBorders>
              <w:top w:val="nil"/>
              <w:left w:val="nil"/>
              <w:bottom w:val="single" w:color="auto" w:sz="4" w:space="0"/>
              <w:right w:val="single" w:color="auto" w:sz="4" w:space="0"/>
            </w:tcBorders>
            <w:vAlign w:val="center"/>
          </w:tcPr>
          <w:p w14:paraId="567EE52B">
            <w:pPr>
              <w:spacing w:line="320" w:lineRule="exact"/>
              <w:jc w:val="center"/>
              <w:rPr>
                <w:rFonts w:ascii="宋体" w:hAnsi="宋体" w:cs="宋体"/>
                <w:kern w:val="0"/>
              </w:rPr>
            </w:pPr>
            <w:r>
              <w:rPr>
                <w:rFonts w:hint="eastAsia" w:ascii="宋体" w:hAnsi="宋体" w:cs="宋体"/>
                <w:kern w:val="0"/>
              </w:rPr>
              <w:t>2</w:t>
            </w:r>
          </w:p>
        </w:tc>
      </w:tr>
      <w:tr w14:paraId="5DBD5F8E">
        <w:tblPrEx>
          <w:tblCellMar>
            <w:top w:w="0" w:type="dxa"/>
            <w:left w:w="108" w:type="dxa"/>
            <w:bottom w:w="0" w:type="dxa"/>
            <w:right w:w="108" w:type="dxa"/>
          </w:tblCellMar>
        </w:tblPrEx>
        <w:trPr>
          <w:trHeight w:val="1727" w:hRule="atLeast"/>
        </w:trPr>
        <w:tc>
          <w:tcPr>
            <w:tcW w:w="577" w:type="dxa"/>
            <w:vMerge w:val="continue"/>
            <w:tcBorders>
              <w:top w:val="nil"/>
              <w:left w:val="single" w:color="auto" w:sz="4" w:space="0"/>
              <w:bottom w:val="single" w:color="auto" w:sz="4" w:space="0"/>
              <w:right w:val="single" w:color="auto" w:sz="4" w:space="0"/>
            </w:tcBorders>
            <w:vAlign w:val="center"/>
          </w:tcPr>
          <w:p w14:paraId="41A2304A">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062364B2">
            <w:pPr>
              <w:spacing w:line="320" w:lineRule="exact"/>
              <w:rPr>
                <w:rFonts w:ascii="宋体"/>
                <w:kern w:val="0"/>
              </w:rPr>
            </w:pPr>
          </w:p>
        </w:tc>
        <w:tc>
          <w:tcPr>
            <w:tcW w:w="547" w:type="dxa"/>
            <w:vMerge w:val="continue"/>
            <w:tcBorders>
              <w:top w:val="nil"/>
              <w:left w:val="single" w:color="auto" w:sz="4" w:space="0"/>
              <w:bottom w:val="single" w:color="auto" w:sz="4" w:space="0"/>
              <w:right w:val="single" w:color="auto" w:sz="4" w:space="0"/>
            </w:tcBorders>
            <w:vAlign w:val="center"/>
          </w:tcPr>
          <w:p w14:paraId="16DAC407">
            <w:pPr>
              <w:spacing w:line="320" w:lineRule="exact"/>
              <w:rPr>
                <w:rFonts w:ascii="宋体"/>
                <w:kern w:val="0"/>
              </w:rPr>
            </w:pPr>
          </w:p>
        </w:tc>
        <w:tc>
          <w:tcPr>
            <w:tcW w:w="571" w:type="dxa"/>
            <w:vMerge w:val="continue"/>
            <w:tcBorders>
              <w:top w:val="nil"/>
              <w:left w:val="single" w:color="auto" w:sz="4" w:space="0"/>
              <w:bottom w:val="single" w:color="auto" w:sz="4" w:space="0"/>
              <w:right w:val="single" w:color="auto" w:sz="4" w:space="0"/>
            </w:tcBorders>
            <w:vAlign w:val="center"/>
          </w:tcPr>
          <w:p w14:paraId="619EFF55">
            <w:pPr>
              <w:spacing w:line="320" w:lineRule="exact"/>
              <w:jc w:val="center"/>
              <w:rPr>
                <w:rFonts w:ascii="宋体"/>
                <w:kern w:val="0"/>
              </w:rPr>
            </w:pPr>
          </w:p>
        </w:tc>
        <w:tc>
          <w:tcPr>
            <w:tcW w:w="705" w:type="dxa"/>
            <w:tcBorders>
              <w:top w:val="nil"/>
              <w:left w:val="nil"/>
              <w:bottom w:val="single" w:color="auto" w:sz="4" w:space="0"/>
              <w:right w:val="single" w:color="auto" w:sz="4" w:space="0"/>
            </w:tcBorders>
            <w:vAlign w:val="center"/>
          </w:tcPr>
          <w:p w14:paraId="2BB641F6">
            <w:pPr>
              <w:spacing w:line="300" w:lineRule="exact"/>
              <w:rPr>
                <w:rFonts w:ascii="宋体"/>
                <w:kern w:val="0"/>
              </w:rPr>
            </w:pPr>
            <w:r>
              <w:rPr>
                <w:rFonts w:hint="eastAsia" w:ascii="宋体" w:hAnsi="宋体" w:cs="宋体"/>
                <w:kern w:val="0"/>
              </w:rPr>
              <w:t>固定资产利用率</w:t>
            </w:r>
          </w:p>
        </w:tc>
        <w:tc>
          <w:tcPr>
            <w:tcW w:w="567" w:type="dxa"/>
            <w:tcBorders>
              <w:top w:val="nil"/>
              <w:left w:val="nil"/>
              <w:bottom w:val="single" w:color="auto" w:sz="4" w:space="0"/>
              <w:right w:val="single" w:color="auto" w:sz="4" w:space="0"/>
            </w:tcBorders>
            <w:vAlign w:val="center"/>
          </w:tcPr>
          <w:p w14:paraId="0A0D4B4B">
            <w:pPr>
              <w:spacing w:line="300" w:lineRule="exact"/>
              <w:jc w:val="center"/>
              <w:rPr>
                <w:rFonts w:ascii="宋体"/>
                <w:kern w:val="0"/>
              </w:rPr>
            </w:pPr>
            <w:r>
              <w:rPr>
                <w:rFonts w:hint="eastAsia" w:ascii="宋体" w:hAnsi="宋体" w:cs="宋体"/>
                <w:kern w:val="0"/>
              </w:rPr>
              <w:t>1</w:t>
            </w:r>
          </w:p>
        </w:tc>
        <w:tc>
          <w:tcPr>
            <w:tcW w:w="2551" w:type="dxa"/>
            <w:tcBorders>
              <w:top w:val="nil"/>
              <w:left w:val="nil"/>
              <w:bottom w:val="single" w:color="auto" w:sz="4" w:space="0"/>
              <w:right w:val="single" w:color="auto" w:sz="4" w:space="0"/>
            </w:tcBorders>
            <w:vAlign w:val="center"/>
          </w:tcPr>
          <w:p w14:paraId="3B0E3651">
            <w:pPr>
              <w:spacing w:line="300" w:lineRule="exact"/>
              <w:rPr>
                <w:rFonts w:ascii="宋体"/>
                <w:kern w:val="0"/>
              </w:rPr>
            </w:pPr>
            <w:r>
              <w:rPr>
                <w:rFonts w:hint="eastAsia" w:ascii="宋体" w:hAnsi="宋体" w:cs="宋体"/>
                <w:kern w:val="0"/>
              </w:rPr>
              <w:t>部门（单位）实际在用固定资产总额与所有固定资产总额的比例，用以反映和考核部门（单位）固定资产使用效率程度。</w:t>
            </w:r>
          </w:p>
        </w:tc>
        <w:tc>
          <w:tcPr>
            <w:tcW w:w="7371" w:type="dxa"/>
            <w:tcBorders>
              <w:top w:val="nil"/>
              <w:left w:val="nil"/>
              <w:bottom w:val="single" w:color="auto" w:sz="4" w:space="0"/>
              <w:right w:val="single" w:color="auto" w:sz="4" w:space="0"/>
            </w:tcBorders>
            <w:vAlign w:val="center"/>
          </w:tcPr>
          <w:p w14:paraId="2B469280">
            <w:pPr>
              <w:spacing w:line="300" w:lineRule="exact"/>
              <w:rPr>
                <w:rFonts w:ascii="宋体" w:hAnsi="宋体" w:cs="宋体"/>
                <w:kern w:val="0"/>
              </w:rPr>
            </w:pPr>
            <w:r>
              <w:rPr>
                <w:rFonts w:hint="eastAsia" w:ascii="宋体" w:hAnsi="宋体" w:cs="宋体"/>
                <w:kern w:val="0"/>
              </w:rPr>
              <w:t>固定资产利用率=（实际在用固定资产总额/所有固定资产总额）×</w:t>
            </w:r>
            <w:r>
              <w:rPr>
                <w:rFonts w:ascii="宋体" w:hAnsi="宋体" w:cs="宋体"/>
                <w:kern w:val="0"/>
              </w:rPr>
              <w:t>100%</w:t>
            </w:r>
          </w:p>
          <w:p w14:paraId="4D6F0081">
            <w:pPr>
              <w:spacing w:line="300" w:lineRule="exact"/>
              <w:ind w:firstLine="840" w:firstLineChars="400"/>
              <w:rPr>
                <w:rFonts w:ascii="宋体" w:hAnsi="宋体" w:cs="宋体"/>
                <w:kern w:val="0"/>
              </w:rPr>
            </w:pPr>
            <w:r>
              <w:rPr>
                <w:rFonts w:ascii="宋体" w:hAnsi="宋体" w:cs="宋体"/>
                <w:kern w:val="0"/>
              </w:rPr>
              <w:t>1.</w:t>
            </w:r>
            <w:r>
              <w:rPr>
                <w:rFonts w:hint="eastAsia" w:ascii="宋体" w:hAnsi="宋体" w:cs="宋体"/>
                <w:kern w:val="0"/>
              </w:rPr>
              <w:t>固定资产利用率≥</w:t>
            </w:r>
            <w:r>
              <w:rPr>
                <w:rFonts w:ascii="宋体" w:hAnsi="宋体" w:cs="宋体"/>
                <w:kern w:val="0"/>
              </w:rPr>
              <w:t>90%</w:t>
            </w:r>
            <w:r>
              <w:rPr>
                <w:rFonts w:hint="eastAsia" w:ascii="宋体" w:hAnsi="宋体" w:cs="宋体"/>
                <w:kern w:val="0"/>
              </w:rPr>
              <w:t>的，得1分；</w:t>
            </w:r>
          </w:p>
          <w:p w14:paraId="3673440F">
            <w:pPr>
              <w:spacing w:line="300" w:lineRule="exact"/>
              <w:ind w:firstLine="420" w:firstLineChars="200"/>
              <w:rPr>
                <w:rFonts w:ascii="宋体" w:hAnsi="宋体" w:cs="宋体"/>
                <w:kern w:val="0"/>
              </w:rPr>
            </w:pPr>
            <w:r>
              <w:rPr>
                <w:rFonts w:ascii="宋体" w:hAnsi="宋体" w:cs="宋体"/>
                <w:kern w:val="0"/>
              </w:rPr>
              <w:t xml:space="preserve">    2.90%</w:t>
            </w:r>
            <w:r>
              <w:rPr>
                <w:rFonts w:hint="eastAsia" w:ascii="宋体" w:hAnsi="宋体" w:cs="宋体"/>
                <w:kern w:val="0"/>
              </w:rPr>
              <w:t>＞固定资产利用率≥</w:t>
            </w:r>
            <w:r>
              <w:rPr>
                <w:rFonts w:ascii="宋体" w:hAnsi="宋体" w:cs="宋体"/>
                <w:kern w:val="0"/>
              </w:rPr>
              <w:t>75%</w:t>
            </w:r>
            <w:r>
              <w:rPr>
                <w:rFonts w:hint="eastAsia" w:ascii="宋体" w:hAnsi="宋体" w:cs="宋体"/>
                <w:kern w:val="0"/>
              </w:rPr>
              <w:t>的，得0.7分；</w:t>
            </w:r>
          </w:p>
          <w:p w14:paraId="7F06BC33">
            <w:pPr>
              <w:spacing w:line="300" w:lineRule="exact"/>
              <w:ind w:firstLine="420" w:firstLineChars="200"/>
              <w:rPr>
                <w:rFonts w:ascii="宋体" w:hAnsi="宋体" w:cs="宋体"/>
                <w:kern w:val="0"/>
              </w:rPr>
            </w:pPr>
            <w:r>
              <w:rPr>
                <w:rFonts w:ascii="宋体" w:hAnsi="宋体" w:cs="宋体"/>
                <w:kern w:val="0"/>
              </w:rPr>
              <w:t xml:space="preserve">    3.75%</w:t>
            </w:r>
            <w:r>
              <w:rPr>
                <w:rFonts w:hint="eastAsia" w:ascii="宋体" w:hAnsi="宋体" w:cs="宋体"/>
                <w:kern w:val="0"/>
              </w:rPr>
              <w:t>＞固定资产利用率≥</w:t>
            </w:r>
            <w:r>
              <w:rPr>
                <w:rFonts w:ascii="宋体" w:hAnsi="宋体" w:cs="宋体"/>
                <w:kern w:val="0"/>
              </w:rPr>
              <w:t>60%</w:t>
            </w:r>
            <w:r>
              <w:rPr>
                <w:rFonts w:hint="eastAsia" w:ascii="宋体" w:hAnsi="宋体" w:cs="宋体"/>
                <w:kern w:val="0"/>
              </w:rPr>
              <w:t>的，得</w:t>
            </w:r>
            <w:r>
              <w:rPr>
                <w:rFonts w:ascii="宋体" w:hAnsi="宋体" w:cs="宋体"/>
                <w:kern w:val="0"/>
              </w:rPr>
              <w:t>0.</w:t>
            </w:r>
            <w:r>
              <w:rPr>
                <w:rFonts w:hint="eastAsia" w:ascii="宋体" w:hAnsi="宋体" w:cs="宋体"/>
                <w:kern w:val="0"/>
              </w:rPr>
              <w:t>4分；</w:t>
            </w:r>
          </w:p>
          <w:p w14:paraId="406EFF0B">
            <w:pPr>
              <w:spacing w:line="300" w:lineRule="exact"/>
              <w:ind w:firstLine="420" w:firstLineChars="200"/>
              <w:rPr>
                <w:rFonts w:ascii="宋体" w:hAnsi="宋体" w:cs="宋体"/>
                <w:kern w:val="0"/>
              </w:rPr>
            </w:pPr>
            <w:r>
              <w:rPr>
                <w:rFonts w:ascii="宋体" w:hAnsi="宋体" w:cs="宋体"/>
                <w:kern w:val="0"/>
              </w:rPr>
              <w:t xml:space="preserve">    4.</w:t>
            </w:r>
            <w:r>
              <w:rPr>
                <w:rFonts w:hint="eastAsia" w:ascii="宋体" w:hAnsi="宋体" w:cs="宋体"/>
                <w:kern w:val="0"/>
              </w:rPr>
              <w:t>固定资产利用率＜</w:t>
            </w:r>
            <w:r>
              <w:rPr>
                <w:rFonts w:ascii="宋体" w:hAnsi="宋体" w:cs="宋体"/>
                <w:kern w:val="0"/>
              </w:rPr>
              <w:t>60%</w:t>
            </w:r>
            <w:r>
              <w:rPr>
                <w:rFonts w:hint="eastAsia" w:ascii="宋体" w:hAnsi="宋体" w:cs="宋体"/>
                <w:kern w:val="0"/>
              </w:rPr>
              <w:t>的，得</w:t>
            </w:r>
            <w:r>
              <w:rPr>
                <w:rFonts w:ascii="宋体" w:hAnsi="宋体" w:cs="宋体"/>
                <w:kern w:val="0"/>
              </w:rPr>
              <w:t>0</w:t>
            </w:r>
            <w:r>
              <w:rPr>
                <w:rFonts w:hint="eastAsia" w:ascii="宋体" w:hAnsi="宋体" w:cs="宋体"/>
                <w:kern w:val="0"/>
              </w:rPr>
              <w:t>分。</w:t>
            </w:r>
          </w:p>
        </w:tc>
        <w:tc>
          <w:tcPr>
            <w:tcW w:w="851" w:type="dxa"/>
            <w:tcBorders>
              <w:top w:val="nil"/>
              <w:left w:val="nil"/>
              <w:bottom w:val="single" w:color="auto" w:sz="4" w:space="0"/>
              <w:right w:val="single" w:color="auto" w:sz="4" w:space="0"/>
            </w:tcBorders>
            <w:vAlign w:val="center"/>
          </w:tcPr>
          <w:p w14:paraId="7D3B0F0D">
            <w:pPr>
              <w:spacing w:line="300" w:lineRule="exact"/>
              <w:jc w:val="center"/>
              <w:rPr>
                <w:rFonts w:ascii="宋体"/>
                <w:kern w:val="0"/>
              </w:rPr>
            </w:pPr>
            <w:r>
              <w:rPr>
                <w:rFonts w:hint="eastAsia" w:ascii="宋体"/>
                <w:kern w:val="0"/>
              </w:rPr>
              <w:t>1</w:t>
            </w:r>
          </w:p>
        </w:tc>
      </w:tr>
      <w:tr w14:paraId="1E170B37">
        <w:tblPrEx>
          <w:tblCellMar>
            <w:top w:w="0" w:type="dxa"/>
            <w:left w:w="108" w:type="dxa"/>
            <w:bottom w:w="0" w:type="dxa"/>
            <w:right w:w="108" w:type="dxa"/>
          </w:tblCellMar>
        </w:tblPrEx>
        <w:trPr>
          <w:trHeight w:val="1559" w:hRule="atLeast"/>
        </w:trPr>
        <w:tc>
          <w:tcPr>
            <w:tcW w:w="577" w:type="dxa"/>
            <w:vMerge w:val="continue"/>
            <w:tcBorders>
              <w:top w:val="nil"/>
              <w:left w:val="single" w:color="auto" w:sz="4" w:space="0"/>
              <w:bottom w:val="single" w:color="auto" w:sz="4" w:space="0"/>
              <w:right w:val="single" w:color="auto" w:sz="4" w:space="0"/>
            </w:tcBorders>
            <w:vAlign w:val="center"/>
          </w:tcPr>
          <w:p w14:paraId="4507B1E9">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534123FD">
            <w:pPr>
              <w:spacing w:line="320" w:lineRule="exact"/>
              <w:rPr>
                <w:rFonts w:ascii="宋体"/>
                <w:kern w:val="0"/>
              </w:rPr>
            </w:pPr>
          </w:p>
        </w:tc>
        <w:tc>
          <w:tcPr>
            <w:tcW w:w="547" w:type="dxa"/>
            <w:vMerge w:val="restart"/>
            <w:tcBorders>
              <w:top w:val="single" w:color="auto" w:sz="4" w:space="0"/>
              <w:left w:val="nil"/>
              <w:bottom w:val="single" w:color="auto" w:sz="4" w:space="0"/>
              <w:right w:val="single" w:color="auto" w:sz="4" w:space="0"/>
            </w:tcBorders>
            <w:vAlign w:val="center"/>
          </w:tcPr>
          <w:p w14:paraId="050E93C7">
            <w:pPr>
              <w:spacing w:line="320" w:lineRule="exact"/>
              <w:rPr>
                <w:rFonts w:ascii="宋体"/>
                <w:kern w:val="0"/>
              </w:rPr>
            </w:pPr>
            <w:r>
              <w:rPr>
                <w:rFonts w:hint="eastAsia" w:ascii="宋体" w:hAnsi="宋体" w:cs="宋体"/>
                <w:kern w:val="0"/>
              </w:rPr>
              <w:t>人员管理</w:t>
            </w:r>
          </w:p>
        </w:tc>
        <w:tc>
          <w:tcPr>
            <w:tcW w:w="571" w:type="dxa"/>
            <w:vMerge w:val="restart"/>
            <w:tcBorders>
              <w:top w:val="single" w:color="auto" w:sz="4" w:space="0"/>
              <w:left w:val="nil"/>
              <w:bottom w:val="single" w:color="auto" w:sz="4" w:space="0"/>
              <w:right w:val="single" w:color="auto" w:sz="4" w:space="0"/>
            </w:tcBorders>
            <w:vAlign w:val="center"/>
          </w:tcPr>
          <w:p w14:paraId="1B47FE3B">
            <w:pPr>
              <w:spacing w:line="320" w:lineRule="exact"/>
              <w:jc w:val="center"/>
              <w:rPr>
                <w:rFonts w:ascii="宋体"/>
                <w:kern w:val="0"/>
              </w:rPr>
            </w:pPr>
            <w:r>
              <w:rPr>
                <w:rFonts w:hint="eastAsia" w:ascii="宋体" w:hAnsi="宋体" w:cs="宋体"/>
                <w:kern w:val="0"/>
              </w:rPr>
              <w:t>2</w:t>
            </w:r>
          </w:p>
        </w:tc>
        <w:tc>
          <w:tcPr>
            <w:tcW w:w="705" w:type="dxa"/>
            <w:tcBorders>
              <w:top w:val="single" w:color="auto" w:sz="4" w:space="0"/>
              <w:left w:val="nil"/>
              <w:bottom w:val="single" w:color="auto" w:sz="4" w:space="0"/>
              <w:right w:val="single" w:color="auto" w:sz="4" w:space="0"/>
            </w:tcBorders>
            <w:vAlign w:val="center"/>
          </w:tcPr>
          <w:p w14:paraId="33F0D51B">
            <w:pPr>
              <w:spacing w:line="300" w:lineRule="exact"/>
              <w:rPr>
                <w:rFonts w:ascii="宋体"/>
                <w:kern w:val="0"/>
              </w:rPr>
            </w:pPr>
            <w:r>
              <w:rPr>
                <w:rFonts w:hint="eastAsia" w:ascii="宋体" w:hAnsi="宋体" w:cs="宋体"/>
                <w:kern w:val="0"/>
              </w:rPr>
              <w:t>财政供养人员控制率</w:t>
            </w:r>
          </w:p>
        </w:tc>
        <w:tc>
          <w:tcPr>
            <w:tcW w:w="567" w:type="dxa"/>
            <w:tcBorders>
              <w:top w:val="single" w:color="auto" w:sz="4" w:space="0"/>
              <w:left w:val="nil"/>
              <w:bottom w:val="single" w:color="auto" w:sz="4" w:space="0"/>
              <w:right w:val="single" w:color="auto" w:sz="4" w:space="0"/>
            </w:tcBorders>
            <w:vAlign w:val="center"/>
          </w:tcPr>
          <w:p w14:paraId="392C4513">
            <w:pPr>
              <w:spacing w:line="300" w:lineRule="exact"/>
              <w:jc w:val="center"/>
              <w:rPr>
                <w:rFonts w:ascii="宋体"/>
                <w:kern w:val="0"/>
              </w:rPr>
            </w:pPr>
            <w:r>
              <w:rPr>
                <w:rFonts w:ascii="宋体" w:hAnsi="宋体" w:cs="宋体"/>
                <w:kern w:val="0"/>
              </w:rPr>
              <w:t>1</w:t>
            </w:r>
          </w:p>
        </w:tc>
        <w:tc>
          <w:tcPr>
            <w:tcW w:w="2551" w:type="dxa"/>
            <w:tcBorders>
              <w:top w:val="single" w:color="auto" w:sz="4" w:space="0"/>
              <w:left w:val="nil"/>
              <w:bottom w:val="single" w:color="auto" w:sz="4" w:space="0"/>
              <w:right w:val="single" w:color="auto" w:sz="4" w:space="0"/>
            </w:tcBorders>
            <w:vAlign w:val="center"/>
          </w:tcPr>
          <w:p w14:paraId="7262C2B1">
            <w:pPr>
              <w:spacing w:line="300" w:lineRule="exact"/>
              <w:rPr>
                <w:rFonts w:ascii="宋体"/>
                <w:kern w:val="0"/>
              </w:rPr>
            </w:pPr>
            <w:r>
              <w:rPr>
                <w:rFonts w:hint="eastAsia" w:ascii="宋体" w:hAnsi="宋体" w:cs="宋体"/>
                <w:kern w:val="0"/>
              </w:rPr>
              <w:t>部门（单位）本年度在编人数（含工勤人员）与核定编制数（含工勤人员）的比率。</w:t>
            </w:r>
          </w:p>
        </w:tc>
        <w:tc>
          <w:tcPr>
            <w:tcW w:w="7371" w:type="dxa"/>
            <w:tcBorders>
              <w:top w:val="single" w:color="auto" w:sz="4" w:space="0"/>
              <w:left w:val="nil"/>
              <w:bottom w:val="single" w:color="auto" w:sz="4" w:space="0"/>
              <w:right w:val="single" w:color="auto" w:sz="4" w:space="0"/>
            </w:tcBorders>
            <w:vAlign w:val="center"/>
          </w:tcPr>
          <w:p w14:paraId="51D3E381">
            <w:pPr>
              <w:spacing w:line="300" w:lineRule="exact"/>
              <w:rPr>
                <w:rFonts w:ascii="宋体" w:hAnsi="宋体" w:cs="宋体"/>
                <w:kern w:val="0"/>
              </w:rPr>
            </w:pPr>
            <w:r>
              <w:rPr>
                <w:rFonts w:hint="eastAsia" w:ascii="宋体" w:hAnsi="宋体" w:cs="宋体"/>
                <w:kern w:val="0"/>
              </w:rPr>
              <w:t>财政供养人员控制率=本年度在编人数（含工勤人员）/核定编制数（含工勤人员）</w:t>
            </w:r>
          </w:p>
          <w:p w14:paraId="48CBB896">
            <w:pPr>
              <w:spacing w:line="300" w:lineRule="exact"/>
              <w:rPr>
                <w:rFonts w:ascii="宋体" w:hAnsi="宋体" w:cs="宋体"/>
                <w:kern w:val="0"/>
              </w:rPr>
            </w:pPr>
            <w:r>
              <w:rPr>
                <w:rFonts w:hint="eastAsia" w:ascii="宋体" w:hAnsi="宋体" w:cs="宋体"/>
                <w:kern w:val="0"/>
              </w:rPr>
              <w:t>1.财政供养人员控制率≤</w:t>
            </w:r>
            <w:r>
              <w:rPr>
                <w:rFonts w:ascii="宋体" w:hAnsi="宋体" w:cs="宋体"/>
                <w:kern w:val="0"/>
              </w:rPr>
              <w:t>100%</w:t>
            </w:r>
            <w:r>
              <w:rPr>
                <w:rFonts w:hint="eastAsia" w:ascii="宋体" w:hAnsi="宋体" w:cs="宋体"/>
                <w:kern w:val="0"/>
              </w:rPr>
              <w:t>的，得1分；</w:t>
            </w:r>
          </w:p>
          <w:p w14:paraId="4A751B79">
            <w:pPr>
              <w:spacing w:line="300" w:lineRule="exact"/>
              <w:rPr>
                <w:rFonts w:ascii="宋体" w:hAnsi="宋体" w:cs="宋体"/>
                <w:kern w:val="0"/>
              </w:rPr>
            </w:pPr>
            <w:r>
              <w:rPr>
                <w:rFonts w:hint="eastAsia" w:ascii="宋体" w:hAnsi="宋体" w:cs="宋体"/>
                <w:kern w:val="0"/>
              </w:rPr>
              <w:t>2.财政供养人员控制率＞</w:t>
            </w:r>
            <w:r>
              <w:rPr>
                <w:rFonts w:ascii="宋体" w:hAnsi="宋体" w:cs="宋体"/>
                <w:kern w:val="0"/>
              </w:rPr>
              <w:t>100%</w:t>
            </w:r>
            <w:r>
              <w:rPr>
                <w:rFonts w:hint="eastAsia" w:ascii="宋体" w:hAnsi="宋体" w:cs="宋体"/>
                <w:kern w:val="0"/>
              </w:rPr>
              <w:t>的，得0分。</w:t>
            </w:r>
          </w:p>
        </w:tc>
        <w:tc>
          <w:tcPr>
            <w:tcW w:w="851" w:type="dxa"/>
            <w:tcBorders>
              <w:top w:val="single" w:color="auto" w:sz="4" w:space="0"/>
              <w:left w:val="nil"/>
              <w:bottom w:val="single" w:color="auto" w:sz="4" w:space="0"/>
              <w:right w:val="single" w:color="auto" w:sz="4" w:space="0"/>
            </w:tcBorders>
            <w:vAlign w:val="center"/>
          </w:tcPr>
          <w:p w14:paraId="09ABC7A7">
            <w:pPr>
              <w:spacing w:line="300" w:lineRule="exact"/>
              <w:jc w:val="center"/>
              <w:rPr>
                <w:rFonts w:ascii="宋体"/>
                <w:kern w:val="0"/>
              </w:rPr>
            </w:pPr>
            <w:r>
              <w:rPr>
                <w:rFonts w:hint="eastAsia" w:ascii="宋体"/>
                <w:kern w:val="0"/>
              </w:rPr>
              <w:t>1</w:t>
            </w:r>
          </w:p>
        </w:tc>
      </w:tr>
      <w:tr w14:paraId="3EDB0EA6">
        <w:tblPrEx>
          <w:tblCellMar>
            <w:top w:w="0" w:type="dxa"/>
            <w:left w:w="108" w:type="dxa"/>
            <w:bottom w:w="0" w:type="dxa"/>
            <w:right w:w="108" w:type="dxa"/>
          </w:tblCellMar>
        </w:tblPrEx>
        <w:trPr>
          <w:trHeight w:val="1267" w:hRule="atLeast"/>
        </w:trPr>
        <w:tc>
          <w:tcPr>
            <w:tcW w:w="577" w:type="dxa"/>
            <w:vMerge w:val="continue"/>
            <w:tcBorders>
              <w:top w:val="nil"/>
              <w:left w:val="single" w:color="auto" w:sz="4" w:space="0"/>
              <w:bottom w:val="single" w:color="auto" w:sz="4" w:space="0"/>
              <w:right w:val="single" w:color="auto" w:sz="4" w:space="0"/>
            </w:tcBorders>
            <w:vAlign w:val="center"/>
          </w:tcPr>
          <w:p w14:paraId="751603A3">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68966911">
            <w:pPr>
              <w:spacing w:line="320" w:lineRule="exact"/>
              <w:rPr>
                <w:rFonts w:ascii="宋体"/>
                <w:kern w:val="0"/>
              </w:rPr>
            </w:pPr>
          </w:p>
        </w:tc>
        <w:tc>
          <w:tcPr>
            <w:tcW w:w="547" w:type="dxa"/>
            <w:vMerge w:val="continue"/>
            <w:tcBorders>
              <w:top w:val="single" w:color="auto" w:sz="4" w:space="0"/>
              <w:left w:val="nil"/>
              <w:bottom w:val="single" w:color="auto" w:sz="4" w:space="0"/>
              <w:right w:val="single" w:color="auto" w:sz="4" w:space="0"/>
            </w:tcBorders>
            <w:vAlign w:val="center"/>
          </w:tcPr>
          <w:p w14:paraId="6D499DE5">
            <w:pPr>
              <w:spacing w:line="320" w:lineRule="exact"/>
              <w:rPr>
                <w:rFonts w:ascii="宋体"/>
                <w:kern w:val="0"/>
              </w:rPr>
            </w:pPr>
          </w:p>
        </w:tc>
        <w:tc>
          <w:tcPr>
            <w:tcW w:w="571" w:type="dxa"/>
            <w:vMerge w:val="continue"/>
            <w:tcBorders>
              <w:top w:val="single" w:color="auto" w:sz="4" w:space="0"/>
              <w:left w:val="nil"/>
              <w:bottom w:val="single" w:color="auto" w:sz="4" w:space="0"/>
              <w:right w:val="single" w:color="auto" w:sz="4" w:space="0"/>
            </w:tcBorders>
            <w:vAlign w:val="center"/>
          </w:tcPr>
          <w:p w14:paraId="3C3B4989">
            <w:pPr>
              <w:spacing w:line="320" w:lineRule="exact"/>
              <w:jc w:val="center"/>
              <w:rPr>
                <w:rFonts w:ascii="宋体"/>
                <w:kern w:val="0"/>
              </w:rPr>
            </w:pPr>
          </w:p>
        </w:tc>
        <w:tc>
          <w:tcPr>
            <w:tcW w:w="705" w:type="dxa"/>
            <w:tcBorders>
              <w:top w:val="single" w:color="auto" w:sz="4" w:space="0"/>
              <w:left w:val="nil"/>
              <w:bottom w:val="single" w:color="auto" w:sz="4" w:space="0"/>
              <w:right w:val="single" w:color="auto" w:sz="4" w:space="0"/>
            </w:tcBorders>
            <w:vAlign w:val="center"/>
          </w:tcPr>
          <w:p w14:paraId="4980E39C">
            <w:pPr>
              <w:spacing w:line="300" w:lineRule="exact"/>
              <w:rPr>
                <w:rFonts w:ascii="宋体"/>
                <w:kern w:val="0"/>
              </w:rPr>
            </w:pPr>
            <w:r>
              <w:rPr>
                <w:rFonts w:hint="eastAsia" w:ascii="宋体" w:hAnsi="宋体" w:cs="宋体"/>
                <w:kern w:val="0"/>
              </w:rPr>
              <w:t>编外人员控制率</w:t>
            </w:r>
          </w:p>
        </w:tc>
        <w:tc>
          <w:tcPr>
            <w:tcW w:w="567" w:type="dxa"/>
            <w:tcBorders>
              <w:top w:val="single" w:color="auto" w:sz="4" w:space="0"/>
              <w:left w:val="nil"/>
              <w:bottom w:val="single" w:color="auto" w:sz="4" w:space="0"/>
              <w:right w:val="single" w:color="auto" w:sz="4" w:space="0"/>
            </w:tcBorders>
            <w:vAlign w:val="center"/>
          </w:tcPr>
          <w:p w14:paraId="70A8C584">
            <w:pPr>
              <w:spacing w:line="300" w:lineRule="exact"/>
              <w:jc w:val="center"/>
              <w:rPr>
                <w:rFonts w:ascii="宋体"/>
                <w:kern w:val="0"/>
              </w:rPr>
            </w:pPr>
            <w:r>
              <w:rPr>
                <w:rFonts w:hint="eastAsia" w:ascii="宋体" w:hAnsi="宋体" w:cs="宋体"/>
                <w:kern w:val="0"/>
              </w:rPr>
              <w:t>1</w:t>
            </w:r>
          </w:p>
        </w:tc>
        <w:tc>
          <w:tcPr>
            <w:tcW w:w="2551" w:type="dxa"/>
            <w:tcBorders>
              <w:top w:val="single" w:color="auto" w:sz="4" w:space="0"/>
              <w:left w:val="nil"/>
              <w:bottom w:val="single" w:color="auto" w:sz="4" w:space="0"/>
              <w:right w:val="single" w:color="auto" w:sz="4" w:space="0"/>
            </w:tcBorders>
            <w:vAlign w:val="center"/>
          </w:tcPr>
          <w:p w14:paraId="15AE3DBC">
            <w:pPr>
              <w:spacing w:line="300" w:lineRule="exact"/>
              <w:rPr>
                <w:rFonts w:ascii="宋体"/>
                <w:kern w:val="0"/>
              </w:rPr>
            </w:pPr>
            <w:r>
              <w:rPr>
                <w:rFonts w:hint="eastAsia" w:ascii="宋体" w:hAnsi="宋体" w:cs="宋体"/>
                <w:kern w:val="0"/>
              </w:rPr>
              <w:t>部门（单位）本年度使用劳务派遣人员数量（含直接聘用的编外人员）与在职人员总数（在编</w:t>
            </w:r>
            <w:r>
              <w:rPr>
                <w:rFonts w:ascii="宋体" w:hAnsi="宋体" w:cs="宋体"/>
                <w:kern w:val="0"/>
              </w:rPr>
              <w:t>+</w:t>
            </w:r>
            <w:r>
              <w:rPr>
                <w:rFonts w:hint="eastAsia" w:ascii="宋体" w:hAnsi="宋体" w:cs="宋体"/>
                <w:kern w:val="0"/>
              </w:rPr>
              <w:t>编外）的比率。</w:t>
            </w:r>
          </w:p>
        </w:tc>
        <w:tc>
          <w:tcPr>
            <w:tcW w:w="7371" w:type="dxa"/>
            <w:tcBorders>
              <w:top w:val="single" w:color="auto" w:sz="4" w:space="0"/>
              <w:left w:val="nil"/>
              <w:bottom w:val="single" w:color="auto" w:sz="4" w:space="0"/>
              <w:right w:val="single" w:color="auto" w:sz="4" w:space="0"/>
            </w:tcBorders>
            <w:vAlign w:val="center"/>
          </w:tcPr>
          <w:p w14:paraId="5883149C">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比率＜</w:t>
            </w:r>
            <w:r>
              <w:rPr>
                <w:rFonts w:ascii="宋体" w:hAnsi="宋体" w:cs="宋体"/>
                <w:kern w:val="0"/>
              </w:rPr>
              <w:t>5%</w:t>
            </w:r>
            <w:r>
              <w:rPr>
                <w:rFonts w:hint="eastAsia" w:ascii="宋体" w:hAnsi="宋体" w:cs="宋体"/>
                <w:kern w:val="0"/>
              </w:rPr>
              <w:t>的，得1分；</w:t>
            </w:r>
          </w:p>
          <w:p w14:paraId="37BA912B">
            <w:pPr>
              <w:spacing w:line="300" w:lineRule="exact"/>
              <w:ind w:firstLine="420" w:firstLineChars="200"/>
              <w:rPr>
                <w:rFonts w:ascii="宋体" w:hAnsi="宋体" w:cs="宋体"/>
                <w:kern w:val="0"/>
              </w:rPr>
            </w:pPr>
            <w:r>
              <w:rPr>
                <w:rFonts w:ascii="宋体" w:hAnsi="宋体" w:cs="宋体"/>
                <w:kern w:val="0"/>
              </w:rPr>
              <w:t>2.5%</w:t>
            </w:r>
            <w:r>
              <w:rPr>
                <w:rFonts w:hint="eastAsia" w:ascii="宋体" w:hAnsi="宋体" w:cs="宋体"/>
                <w:kern w:val="0"/>
              </w:rPr>
              <w:t>≤比率≤</w:t>
            </w:r>
            <w:r>
              <w:rPr>
                <w:rFonts w:ascii="宋体" w:hAnsi="宋体" w:cs="宋体"/>
                <w:kern w:val="0"/>
              </w:rPr>
              <w:t>10%</w:t>
            </w:r>
            <w:r>
              <w:rPr>
                <w:rFonts w:hint="eastAsia" w:ascii="宋体" w:hAnsi="宋体" w:cs="宋体"/>
                <w:kern w:val="0"/>
              </w:rPr>
              <w:t>的，得0.5分；</w:t>
            </w:r>
          </w:p>
          <w:p w14:paraId="0B5FF910">
            <w:pPr>
              <w:spacing w:line="300" w:lineRule="exact"/>
              <w:ind w:firstLine="210" w:firstLineChars="100"/>
              <w:rPr>
                <w:rFonts w:ascii="宋体" w:hAnsi="宋体" w:cs="宋体"/>
                <w:kern w:val="0"/>
              </w:rPr>
            </w:pPr>
            <w:r>
              <w:rPr>
                <w:rFonts w:ascii="宋体" w:hAnsi="宋体" w:cs="宋体"/>
                <w:kern w:val="0"/>
              </w:rPr>
              <w:t xml:space="preserve">  3.</w:t>
            </w:r>
            <w:r>
              <w:rPr>
                <w:rFonts w:hint="eastAsia" w:ascii="宋体" w:hAnsi="宋体" w:cs="宋体"/>
                <w:kern w:val="0"/>
              </w:rPr>
              <w:t>比率＞</w:t>
            </w:r>
            <w:r>
              <w:rPr>
                <w:rFonts w:ascii="宋体" w:hAnsi="宋体" w:cs="宋体"/>
                <w:kern w:val="0"/>
              </w:rPr>
              <w:t>10%</w:t>
            </w:r>
            <w:r>
              <w:rPr>
                <w:rFonts w:hint="eastAsia" w:ascii="宋体" w:hAnsi="宋体" w:cs="宋体"/>
                <w:kern w:val="0"/>
              </w:rPr>
              <w:t>的，得</w:t>
            </w:r>
            <w:r>
              <w:rPr>
                <w:rFonts w:ascii="宋体" w:hAnsi="宋体" w:cs="宋体"/>
                <w:kern w:val="0"/>
              </w:rPr>
              <w:t>0</w:t>
            </w:r>
            <w:r>
              <w:rPr>
                <w:rFonts w:hint="eastAsia" w:ascii="宋体" w:hAnsi="宋体" w:cs="宋体"/>
                <w:kern w:val="0"/>
              </w:rPr>
              <w:t>分。</w:t>
            </w:r>
          </w:p>
        </w:tc>
        <w:tc>
          <w:tcPr>
            <w:tcW w:w="851" w:type="dxa"/>
            <w:tcBorders>
              <w:top w:val="single" w:color="auto" w:sz="4" w:space="0"/>
              <w:left w:val="nil"/>
              <w:bottom w:val="single" w:color="auto" w:sz="4" w:space="0"/>
              <w:right w:val="single" w:color="auto" w:sz="4" w:space="0"/>
            </w:tcBorders>
            <w:vAlign w:val="center"/>
          </w:tcPr>
          <w:p w14:paraId="7BE29780">
            <w:pPr>
              <w:spacing w:line="300" w:lineRule="exact"/>
              <w:ind w:firstLine="420" w:firstLineChars="200"/>
              <w:jc w:val="center"/>
              <w:rPr>
                <w:rFonts w:ascii="宋体" w:hAnsi="宋体" w:cs="宋体"/>
                <w:kern w:val="0"/>
              </w:rPr>
            </w:pPr>
            <w:r>
              <w:rPr>
                <w:rFonts w:hint="eastAsia" w:ascii="宋体" w:hAnsi="宋体" w:cs="宋体"/>
                <w:kern w:val="0"/>
              </w:rPr>
              <w:object>
                <v:shape id="_x0000_i1025" o:spt="75" type="#_x0000_t75" style="height:42.75pt;width:249.75pt;" o:ole="t" filled="f" o:preferrelative="t" stroked="f" coordsize="21600,21600">
                  <v:path/>
                  <v:fill on="f" focussize="0,0"/>
                  <v:stroke on="f" joinstyle="miter"/>
                  <v:imagedata r:id="rId5" o:title=""/>
                  <o:lock v:ext="edit" aspectratio="t"/>
                  <w10:wrap type="none"/>
                  <w10:anchorlock/>
                </v:shape>
                <o:OLEObject Type="Embed" ProgID="Package" ShapeID="_x0000_i1025" DrawAspect="Content" ObjectID="_1468075725" r:id="rId4">
                  <o:LockedField>false</o:LockedField>
                </o:OLEObject>
              </w:object>
            </w:r>
            <w:r>
              <w:rPr>
                <w:rFonts w:hint="eastAsia" w:ascii="宋体" w:hAnsi="宋体" w:cs="宋体"/>
                <w:color w:val="FF0000"/>
                <w:kern w:val="0"/>
              </w:rPr>
              <w:t>0</w:t>
            </w:r>
          </w:p>
        </w:tc>
      </w:tr>
      <w:tr w14:paraId="67B9A187">
        <w:tblPrEx>
          <w:tblCellMar>
            <w:top w:w="0" w:type="dxa"/>
            <w:left w:w="108" w:type="dxa"/>
            <w:bottom w:w="0" w:type="dxa"/>
            <w:right w:w="108" w:type="dxa"/>
          </w:tblCellMar>
        </w:tblPrEx>
        <w:trPr>
          <w:trHeight w:val="870" w:hRule="atLeast"/>
        </w:trPr>
        <w:tc>
          <w:tcPr>
            <w:tcW w:w="577" w:type="dxa"/>
            <w:vMerge w:val="continue"/>
            <w:tcBorders>
              <w:top w:val="nil"/>
              <w:left w:val="single" w:color="auto" w:sz="4" w:space="0"/>
              <w:bottom w:val="single" w:color="auto" w:sz="4" w:space="0"/>
              <w:right w:val="single" w:color="auto" w:sz="4" w:space="0"/>
            </w:tcBorders>
            <w:vAlign w:val="center"/>
          </w:tcPr>
          <w:p w14:paraId="74CDC799">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156F3BDC">
            <w:pPr>
              <w:spacing w:line="320" w:lineRule="exact"/>
              <w:rPr>
                <w:rFonts w:ascii="宋体"/>
                <w:kern w:val="0"/>
              </w:rPr>
            </w:pPr>
          </w:p>
        </w:tc>
        <w:tc>
          <w:tcPr>
            <w:tcW w:w="547" w:type="dxa"/>
            <w:tcBorders>
              <w:top w:val="nil"/>
              <w:left w:val="nil"/>
              <w:bottom w:val="single" w:color="auto" w:sz="4" w:space="0"/>
              <w:right w:val="single" w:color="auto" w:sz="4" w:space="0"/>
            </w:tcBorders>
            <w:vAlign w:val="center"/>
          </w:tcPr>
          <w:p w14:paraId="67582363">
            <w:pPr>
              <w:spacing w:line="320" w:lineRule="exact"/>
              <w:rPr>
                <w:rFonts w:ascii="宋体"/>
                <w:kern w:val="0"/>
              </w:rPr>
            </w:pPr>
            <w:r>
              <w:rPr>
                <w:rFonts w:hint="eastAsia" w:ascii="宋体" w:hAnsi="宋体" w:cs="宋体"/>
                <w:kern w:val="0"/>
              </w:rPr>
              <w:t>制度管理</w:t>
            </w:r>
          </w:p>
        </w:tc>
        <w:tc>
          <w:tcPr>
            <w:tcW w:w="571" w:type="dxa"/>
            <w:tcBorders>
              <w:top w:val="nil"/>
              <w:left w:val="nil"/>
              <w:bottom w:val="single" w:color="auto" w:sz="4" w:space="0"/>
              <w:right w:val="single" w:color="auto" w:sz="4" w:space="0"/>
            </w:tcBorders>
            <w:vAlign w:val="center"/>
          </w:tcPr>
          <w:p w14:paraId="3B527D35">
            <w:pPr>
              <w:spacing w:line="320" w:lineRule="exact"/>
              <w:jc w:val="center"/>
              <w:rPr>
                <w:rFonts w:ascii="宋体"/>
                <w:kern w:val="0"/>
              </w:rPr>
            </w:pPr>
            <w:r>
              <w:rPr>
                <w:rFonts w:hint="eastAsia" w:ascii="宋体" w:hAnsi="宋体" w:cs="宋体"/>
                <w:kern w:val="0"/>
              </w:rPr>
              <w:t>3</w:t>
            </w:r>
          </w:p>
        </w:tc>
        <w:tc>
          <w:tcPr>
            <w:tcW w:w="705" w:type="dxa"/>
            <w:tcBorders>
              <w:top w:val="nil"/>
              <w:left w:val="nil"/>
              <w:bottom w:val="single" w:color="auto" w:sz="4" w:space="0"/>
              <w:right w:val="single" w:color="auto" w:sz="4" w:space="0"/>
            </w:tcBorders>
            <w:vAlign w:val="center"/>
          </w:tcPr>
          <w:p w14:paraId="669A37D6">
            <w:pPr>
              <w:spacing w:line="300" w:lineRule="exact"/>
              <w:rPr>
                <w:rFonts w:ascii="宋体"/>
                <w:kern w:val="0"/>
              </w:rPr>
            </w:pPr>
            <w:r>
              <w:rPr>
                <w:rFonts w:hint="eastAsia" w:ascii="宋体" w:hAnsi="宋体" w:cs="宋体"/>
                <w:kern w:val="0"/>
              </w:rPr>
              <w:t>管理制度健全性</w:t>
            </w:r>
          </w:p>
        </w:tc>
        <w:tc>
          <w:tcPr>
            <w:tcW w:w="567" w:type="dxa"/>
            <w:tcBorders>
              <w:top w:val="nil"/>
              <w:left w:val="nil"/>
              <w:bottom w:val="single" w:color="auto" w:sz="4" w:space="0"/>
              <w:right w:val="single" w:color="auto" w:sz="4" w:space="0"/>
            </w:tcBorders>
            <w:vAlign w:val="center"/>
          </w:tcPr>
          <w:p w14:paraId="455D07ED">
            <w:pPr>
              <w:spacing w:line="300" w:lineRule="exact"/>
              <w:jc w:val="center"/>
              <w:rPr>
                <w:rFonts w:ascii="宋体"/>
                <w:kern w:val="0"/>
              </w:rPr>
            </w:pPr>
            <w:r>
              <w:rPr>
                <w:rFonts w:hint="eastAsia" w:ascii="宋体" w:hAnsi="宋体" w:cs="宋体"/>
                <w:kern w:val="0"/>
              </w:rPr>
              <w:t>3</w:t>
            </w:r>
          </w:p>
        </w:tc>
        <w:tc>
          <w:tcPr>
            <w:tcW w:w="2551" w:type="dxa"/>
            <w:tcBorders>
              <w:top w:val="nil"/>
              <w:left w:val="nil"/>
              <w:bottom w:val="single" w:color="auto" w:sz="4" w:space="0"/>
              <w:right w:val="single" w:color="auto" w:sz="4" w:space="0"/>
            </w:tcBorders>
            <w:vAlign w:val="center"/>
          </w:tcPr>
          <w:p w14:paraId="1D05DA41">
            <w:pPr>
              <w:spacing w:line="300" w:lineRule="exact"/>
              <w:rPr>
                <w:rFonts w:ascii="宋体"/>
                <w:kern w:val="0"/>
              </w:rPr>
            </w:pPr>
            <w:r>
              <w:rPr>
                <w:rFonts w:hint="eastAsia" w:ascii="宋体" w:hAnsi="宋体" w:cs="宋体"/>
                <w:kern w:val="0"/>
              </w:rPr>
              <w:t>部门（单位）制定了相应的预算资金、财务管理和预算绩效管理等制度并严格执行，用以反映部门（单位）的管理制度对其完成主要职责和促进事业发展的保障情况。</w:t>
            </w:r>
          </w:p>
        </w:tc>
        <w:tc>
          <w:tcPr>
            <w:tcW w:w="7371" w:type="dxa"/>
            <w:tcBorders>
              <w:top w:val="nil"/>
              <w:left w:val="nil"/>
              <w:bottom w:val="single" w:color="auto" w:sz="4" w:space="0"/>
              <w:right w:val="single" w:color="auto" w:sz="4" w:space="0"/>
            </w:tcBorders>
            <w:vAlign w:val="center"/>
          </w:tcPr>
          <w:p w14:paraId="0492AA36">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部门制定了财政资金管理、财务管理、内部控制等制度（0.5分）；</w:t>
            </w:r>
          </w:p>
          <w:p w14:paraId="09988EBF">
            <w:pPr>
              <w:spacing w:line="300" w:lineRule="exact"/>
              <w:ind w:firstLine="420" w:firstLineChars="200"/>
              <w:rPr>
                <w:rFonts w:ascii="宋体" w:hAnsi="宋体" w:cs="宋体"/>
                <w:kern w:val="0"/>
              </w:rPr>
            </w:pPr>
            <w:r>
              <w:rPr>
                <w:rFonts w:ascii="宋体" w:hAnsi="宋体" w:cs="宋体"/>
                <w:kern w:val="0"/>
              </w:rPr>
              <w:t>2.</w:t>
            </w:r>
            <w:r>
              <w:rPr>
                <w:rFonts w:hint="eastAsia" w:ascii="宋体" w:hAnsi="宋体" w:cs="宋体"/>
                <w:kern w:val="0"/>
              </w:rPr>
              <w:t>上述财政资金管理、财务管理、内部控制等制度得到有效执行（1.5分）；</w:t>
            </w:r>
          </w:p>
          <w:p w14:paraId="3CA8E08C">
            <w:pPr>
              <w:spacing w:line="300" w:lineRule="exact"/>
              <w:ind w:firstLine="420" w:firstLineChars="200"/>
              <w:rPr>
                <w:rFonts w:ascii="宋体" w:hAnsi="宋体" w:cs="宋体"/>
                <w:kern w:val="0"/>
              </w:rPr>
            </w:pPr>
            <w:r>
              <w:rPr>
                <w:rFonts w:ascii="宋体" w:hAnsi="宋体" w:cs="宋体"/>
                <w:kern w:val="0"/>
              </w:rPr>
              <w:t xml:space="preserve">    3.</w:t>
            </w:r>
            <w:r>
              <w:rPr>
                <w:rFonts w:hint="eastAsia" w:ascii="宋体" w:hAnsi="宋体" w:cs="宋体"/>
                <w:kern w:val="0"/>
              </w:rPr>
              <w:t>部门按照预算和绩效管理一体化的要求制定我局全面实施预算绩效管理的制度或工作方案，组织指导本级及下属单位开展事前评估、绩效目标编报、绩效监控、绩效评价和评价结果应用等工作（</w:t>
            </w:r>
            <w:r>
              <w:rPr>
                <w:rFonts w:ascii="宋体" w:hAnsi="宋体" w:cs="宋体"/>
                <w:kern w:val="0"/>
              </w:rPr>
              <w:t>1</w:t>
            </w:r>
            <w:r>
              <w:rPr>
                <w:rFonts w:hint="eastAsia" w:ascii="宋体" w:hAnsi="宋体" w:cs="宋体"/>
                <w:kern w:val="0"/>
              </w:rPr>
              <w:t>分）。</w:t>
            </w:r>
          </w:p>
        </w:tc>
        <w:tc>
          <w:tcPr>
            <w:tcW w:w="851" w:type="dxa"/>
            <w:tcBorders>
              <w:top w:val="nil"/>
              <w:left w:val="nil"/>
              <w:bottom w:val="single" w:color="auto" w:sz="4" w:space="0"/>
              <w:right w:val="single" w:color="auto" w:sz="4" w:space="0"/>
            </w:tcBorders>
            <w:vAlign w:val="center"/>
          </w:tcPr>
          <w:p w14:paraId="35BB2650">
            <w:pPr>
              <w:spacing w:line="300" w:lineRule="exact"/>
              <w:jc w:val="center"/>
              <w:rPr>
                <w:rFonts w:ascii="宋体" w:hAnsi="宋体" w:cs="宋体"/>
                <w:kern w:val="0"/>
              </w:rPr>
            </w:pPr>
            <w:r>
              <w:rPr>
                <w:rFonts w:hint="eastAsia" w:ascii="宋体" w:hAnsi="宋体" w:cs="宋体"/>
                <w:kern w:val="0"/>
              </w:rPr>
              <w:t>3</w:t>
            </w:r>
          </w:p>
        </w:tc>
      </w:tr>
      <w:tr w14:paraId="278A7A92">
        <w:tblPrEx>
          <w:tblCellMar>
            <w:top w:w="0" w:type="dxa"/>
            <w:left w:w="108" w:type="dxa"/>
            <w:bottom w:w="0" w:type="dxa"/>
            <w:right w:w="108" w:type="dxa"/>
          </w:tblCellMar>
        </w:tblPrEx>
        <w:trPr>
          <w:trHeight w:val="360" w:hRule="atLeast"/>
        </w:trPr>
        <w:tc>
          <w:tcPr>
            <w:tcW w:w="577" w:type="dxa"/>
            <w:vMerge w:val="restart"/>
            <w:tcBorders>
              <w:top w:val="nil"/>
              <w:left w:val="single" w:color="auto" w:sz="4" w:space="0"/>
              <w:bottom w:val="single" w:color="auto" w:sz="4" w:space="0"/>
              <w:right w:val="single" w:color="auto" w:sz="4" w:space="0"/>
            </w:tcBorders>
            <w:vAlign w:val="center"/>
          </w:tcPr>
          <w:p w14:paraId="5776A969">
            <w:pPr>
              <w:spacing w:line="320" w:lineRule="exact"/>
              <w:rPr>
                <w:rFonts w:ascii="宋体"/>
                <w:kern w:val="0"/>
              </w:rPr>
            </w:pPr>
            <w:r>
              <w:rPr>
                <w:rFonts w:hint="eastAsia" w:ascii="宋体" w:hAnsi="宋体" w:cs="宋体"/>
                <w:kern w:val="0"/>
              </w:rPr>
              <w:t>部门绩效</w:t>
            </w:r>
          </w:p>
        </w:tc>
        <w:tc>
          <w:tcPr>
            <w:tcW w:w="508" w:type="dxa"/>
            <w:vMerge w:val="restart"/>
            <w:tcBorders>
              <w:top w:val="nil"/>
              <w:left w:val="single" w:color="auto" w:sz="4" w:space="0"/>
              <w:bottom w:val="single" w:color="auto" w:sz="4" w:space="0"/>
              <w:right w:val="single" w:color="auto" w:sz="4" w:space="0"/>
            </w:tcBorders>
            <w:vAlign w:val="center"/>
          </w:tcPr>
          <w:p w14:paraId="7E4DF429">
            <w:pPr>
              <w:spacing w:line="320" w:lineRule="exact"/>
              <w:rPr>
                <w:rFonts w:ascii="宋体"/>
                <w:kern w:val="0"/>
              </w:rPr>
            </w:pPr>
            <w:r>
              <w:rPr>
                <w:rFonts w:ascii="宋体" w:hAnsi="宋体" w:cs="宋体"/>
                <w:kern w:val="0"/>
              </w:rPr>
              <w:t>60</w:t>
            </w:r>
          </w:p>
        </w:tc>
        <w:tc>
          <w:tcPr>
            <w:tcW w:w="547" w:type="dxa"/>
            <w:tcBorders>
              <w:top w:val="nil"/>
              <w:left w:val="nil"/>
              <w:bottom w:val="single" w:color="auto" w:sz="4" w:space="0"/>
              <w:right w:val="single" w:color="auto" w:sz="4" w:space="0"/>
            </w:tcBorders>
            <w:vAlign w:val="center"/>
          </w:tcPr>
          <w:p w14:paraId="0F9CD2FE">
            <w:pPr>
              <w:spacing w:line="320" w:lineRule="exact"/>
              <w:rPr>
                <w:rFonts w:ascii="宋体"/>
                <w:kern w:val="0"/>
              </w:rPr>
            </w:pPr>
            <w:r>
              <w:rPr>
                <w:rFonts w:hint="eastAsia" w:ascii="宋体" w:hAnsi="宋体" w:cs="宋体"/>
                <w:kern w:val="0"/>
              </w:rPr>
              <w:t>经济性</w:t>
            </w:r>
          </w:p>
        </w:tc>
        <w:tc>
          <w:tcPr>
            <w:tcW w:w="571" w:type="dxa"/>
            <w:tcBorders>
              <w:top w:val="nil"/>
              <w:left w:val="nil"/>
              <w:bottom w:val="single" w:color="auto" w:sz="4" w:space="0"/>
              <w:right w:val="single" w:color="auto" w:sz="4" w:space="0"/>
            </w:tcBorders>
            <w:vAlign w:val="center"/>
          </w:tcPr>
          <w:p w14:paraId="0E5704C3">
            <w:pPr>
              <w:spacing w:line="320" w:lineRule="exact"/>
              <w:jc w:val="center"/>
              <w:rPr>
                <w:rFonts w:ascii="宋体"/>
                <w:kern w:val="0"/>
              </w:rPr>
            </w:pPr>
            <w:r>
              <w:rPr>
                <w:rFonts w:ascii="宋体" w:hAnsi="宋体" w:cs="宋体"/>
                <w:kern w:val="0"/>
              </w:rPr>
              <w:t>6</w:t>
            </w:r>
          </w:p>
        </w:tc>
        <w:tc>
          <w:tcPr>
            <w:tcW w:w="705" w:type="dxa"/>
            <w:tcBorders>
              <w:top w:val="nil"/>
              <w:left w:val="nil"/>
              <w:bottom w:val="single" w:color="auto" w:sz="4" w:space="0"/>
              <w:right w:val="single" w:color="auto" w:sz="4" w:space="0"/>
            </w:tcBorders>
            <w:vAlign w:val="center"/>
          </w:tcPr>
          <w:p w14:paraId="3B5E5FF1">
            <w:pPr>
              <w:spacing w:line="320" w:lineRule="exact"/>
              <w:rPr>
                <w:rFonts w:ascii="宋体"/>
                <w:kern w:val="0"/>
              </w:rPr>
            </w:pPr>
            <w:r>
              <w:rPr>
                <w:rFonts w:hint="eastAsia" w:ascii="宋体" w:hAnsi="宋体" w:cs="宋体"/>
                <w:kern w:val="0"/>
              </w:rPr>
              <w:t>公用经费控制率</w:t>
            </w:r>
          </w:p>
        </w:tc>
        <w:tc>
          <w:tcPr>
            <w:tcW w:w="567" w:type="dxa"/>
            <w:tcBorders>
              <w:top w:val="nil"/>
              <w:left w:val="nil"/>
              <w:bottom w:val="single" w:color="auto" w:sz="4" w:space="0"/>
              <w:right w:val="single" w:color="auto" w:sz="4" w:space="0"/>
            </w:tcBorders>
            <w:vAlign w:val="center"/>
          </w:tcPr>
          <w:p w14:paraId="2E9375BF">
            <w:pPr>
              <w:spacing w:line="320" w:lineRule="exact"/>
              <w:jc w:val="center"/>
              <w:rPr>
                <w:rFonts w:ascii="宋体"/>
                <w:kern w:val="0"/>
              </w:rPr>
            </w:pPr>
            <w:r>
              <w:rPr>
                <w:rFonts w:ascii="宋体" w:hAnsi="宋体" w:cs="宋体"/>
                <w:kern w:val="0"/>
              </w:rPr>
              <w:t>6</w:t>
            </w:r>
          </w:p>
        </w:tc>
        <w:tc>
          <w:tcPr>
            <w:tcW w:w="2551" w:type="dxa"/>
            <w:tcBorders>
              <w:top w:val="nil"/>
              <w:left w:val="nil"/>
              <w:bottom w:val="single" w:color="auto" w:sz="4" w:space="0"/>
              <w:right w:val="single" w:color="auto" w:sz="4" w:space="0"/>
            </w:tcBorders>
            <w:vAlign w:val="center"/>
          </w:tcPr>
          <w:p w14:paraId="6A18E804">
            <w:pPr>
              <w:spacing w:line="320" w:lineRule="exact"/>
              <w:rPr>
                <w:rFonts w:ascii="宋体"/>
                <w:kern w:val="0"/>
              </w:rPr>
            </w:pPr>
            <w:r>
              <w:rPr>
                <w:rFonts w:hint="eastAsia" w:ascii="宋体" w:hAnsi="宋体" w:cs="宋体"/>
                <w:kern w:val="0"/>
              </w:rPr>
              <w:t>部门（单位）本年度实际支出的公用经费总额与预算安排的公用经费总额的比率，用以反映和考核部门（单位）对机构运转成本的实际控制程度。</w:t>
            </w:r>
          </w:p>
        </w:tc>
        <w:tc>
          <w:tcPr>
            <w:tcW w:w="7371" w:type="dxa"/>
            <w:tcBorders>
              <w:top w:val="nil"/>
              <w:left w:val="nil"/>
              <w:bottom w:val="single" w:color="auto" w:sz="4" w:space="0"/>
              <w:right w:val="single" w:color="auto" w:sz="4" w:space="0"/>
            </w:tcBorders>
            <w:vAlign w:val="center"/>
          </w:tcPr>
          <w:p w14:paraId="5889D42B">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“三公”经费控制率=“三公”经费实际支出数/“三公”经费预算安排数×</w:t>
            </w:r>
            <w:r>
              <w:rPr>
                <w:rFonts w:ascii="宋体" w:hAnsi="宋体" w:cs="宋体"/>
                <w:kern w:val="0"/>
              </w:rPr>
              <w:t>100%</w:t>
            </w:r>
          </w:p>
          <w:p w14:paraId="3A9D52FB">
            <w:pPr>
              <w:spacing w:line="300" w:lineRule="exact"/>
              <w:ind w:firstLine="420" w:firstLineChars="200"/>
              <w:rPr>
                <w:rFonts w:ascii="宋体" w:hAnsi="宋体" w:cs="宋体"/>
                <w:kern w:val="0"/>
              </w:rPr>
            </w:pPr>
            <w:r>
              <w:rPr>
                <w:rFonts w:hint="eastAsia" w:ascii="宋体" w:hAnsi="宋体" w:cs="宋体"/>
                <w:kern w:val="0"/>
              </w:rPr>
              <w:t>（1）“三公”经费控制率＜90%的，得3分；</w:t>
            </w:r>
          </w:p>
          <w:p w14:paraId="40854D76">
            <w:pPr>
              <w:spacing w:line="300" w:lineRule="exact"/>
              <w:ind w:firstLine="420" w:firstLineChars="200"/>
              <w:rPr>
                <w:rFonts w:ascii="宋体" w:hAnsi="宋体" w:cs="宋体"/>
                <w:kern w:val="0"/>
              </w:rPr>
            </w:pPr>
            <w:r>
              <w:rPr>
                <w:rFonts w:hint="eastAsia" w:ascii="宋体" w:hAnsi="宋体" w:cs="宋体"/>
                <w:kern w:val="0"/>
              </w:rPr>
              <w:t>（2）90%≤“三公”经费控制率≤100%的，得2分；</w:t>
            </w:r>
          </w:p>
          <w:p w14:paraId="54F97F62">
            <w:pPr>
              <w:spacing w:line="300" w:lineRule="exact"/>
              <w:ind w:firstLine="420" w:firstLineChars="200"/>
              <w:rPr>
                <w:rFonts w:ascii="宋体" w:hAnsi="宋体" w:cs="宋体"/>
                <w:kern w:val="0"/>
              </w:rPr>
            </w:pPr>
            <w:r>
              <w:rPr>
                <w:rFonts w:hint="eastAsia" w:ascii="宋体" w:hAnsi="宋体" w:cs="宋体"/>
                <w:kern w:val="0"/>
              </w:rPr>
              <w:t>（3）“三公”经费控制率＞100%的，得0分。</w:t>
            </w:r>
          </w:p>
          <w:p w14:paraId="0298B270">
            <w:pPr>
              <w:spacing w:line="300" w:lineRule="exact"/>
              <w:ind w:firstLine="420" w:firstLineChars="200"/>
              <w:rPr>
                <w:rFonts w:ascii="宋体" w:hAnsi="宋体" w:cs="宋体"/>
                <w:kern w:val="0"/>
              </w:rPr>
            </w:pPr>
            <w:r>
              <w:rPr>
                <w:rFonts w:ascii="宋体" w:hAnsi="宋体" w:cs="宋体"/>
                <w:kern w:val="0"/>
              </w:rPr>
              <w:t xml:space="preserve">    2.</w:t>
            </w:r>
            <w:r>
              <w:rPr>
                <w:rFonts w:hint="eastAsia" w:ascii="宋体" w:hAnsi="宋体" w:cs="宋体"/>
                <w:kern w:val="0"/>
              </w:rPr>
              <w:t xml:space="preserve"> 日常公用经费控制率=日常公用经费决算数/日常公用经费调整预算数×</w:t>
            </w:r>
            <w:r>
              <w:rPr>
                <w:rFonts w:ascii="宋体" w:hAnsi="宋体" w:cs="宋体"/>
                <w:kern w:val="0"/>
              </w:rPr>
              <w:t>100%</w:t>
            </w:r>
          </w:p>
          <w:p w14:paraId="37023261">
            <w:pPr>
              <w:spacing w:line="300" w:lineRule="exact"/>
              <w:ind w:firstLine="420" w:firstLineChars="200"/>
              <w:rPr>
                <w:rFonts w:ascii="宋体" w:hAnsi="宋体" w:cs="宋体"/>
                <w:kern w:val="0"/>
              </w:rPr>
            </w:pPr>
            <w:r>
              <w:rPr>
                <w:rFonts w:hint="eastAsia" w:ascii="宋体" w:hAnsi="宋体" w:cs="宋体"/>
                <w:kern w:val="0"/>
              </w:rPr>
              <w:t>（1）日常公用经费控制率＜90%的，得3分；</w:t>
            </w:r>
          </w:p>
          <w:p w14:paraId="6A5375DA">
            <w:pPr>
              <w:spacing w:line="300" w:lineRule="exact"/>
              <w:ind w:firstLine="420" w:firstLineChars="200"/>
              <w:rPr>
                <w:rFonts w:ascii="宋体" w:hAnsi="宋体" w:cs="宋体"/>
                <w:kern w:val="0"/>
              </w:rPr>
            </w:pPr>
            <w:r>
              <w:rPr>
                <w:rFonts w:hint="eastAsia" w:ascii="宋体" w:hAnsi="宋体" w:cs="宋体"/>
                <w:kern w:val="0"/>
              </w:rPr>
              <w:t>（2）90%≤日常公用经费控制率≤100%的，得2分；</w:t>
            </w:r>
          </w:p>
          <w:p w14:paraId="1EDD0909">
            <w:pPr>
              <w:spacing w:line="300" w:lineRule="exact"/>
              <w:ind w:firstLine="420" w:firstLineChars="200"/>
              <w:rPr>
                <w:rFonts w:ascii="宋体" w:hAnsi="宋体" w:cs="宋体"/>
                <w:kern w:val="0"/>
              </w:rPr>
            </w:pPr>
            <w:r>
              <w:rPr>
                <w:rFonts w:hint="eastAsia" w:ascii="宋体" w:hAnsi="宋体" w:cs="宋体"/>
                <w:kern w:val="0"/>
              </w:rPr>
              <w:t>（3）日常公用经费控制率＞100%的，得0分。</w:t>
            </w:r>
          </w:p>
        </w:tc>
        <w:tc>
          <w:tcPr>
            <w:tcW w:w="851" w:type="dxa"/>
            <w:tcBorders>
              <w:top w:val="nil"/>
              <w:left w:val="nil"/>
              <w:bottom w:val="single" w:color="auto" w:sz="4" w:space="0"/>
              <w:right w:val="single" w:color="auto" w:sz="4" w:space="0"/>
            </w:tcBorders>
            <w:vAlign w:val="center"/>
          </w:tcPr>
          <w:p w14:paraId="20B053C5">
            <w:pPr>
              <w:spacing w:line="300" w:lineRule="exact"/>
              <w:jc w:val="center"/>
              <w:rPr>
                <w:rFonts w:ascii="宋体" w:hAnsi="宋体" w:cs="宋体"/>
                <w:kern w:val="0"/>
              </w:rPr>
            </w:pPr>
            <w:r>
              <w:rPr>
                <w:rFonts w:hint="eastAsia" w:ascii="宋体" w:hAnsi="宋体" w:cs="宋体"/>
                <w:kern w:val="0"/>
              </w:rPr>
              <w:t>6</w:t>
            </w:r>
          </w:p>
        </w:tc>
      </w:tr>
      <w:tr w14:paraId="6D40E94B">
        <w:tblPrEx>
          <w:tblCellMar>
            <w:top w:w="0" w:type="dxa"/>
            <w:left w:w="108" w:type="dxa"/>
            <w:bottom w:w="0" w:type="dxa"/>
            <w:right w:w="108" w:type="dxa"/>
          </w:tblCellMar>
        </w:tblPrEx>
        <w:trPr>
          <w:trHeight w:val="1035" w:hRule="atLeast"/>
        </w:trPr>
        <w:tc>
          <w:tcPr>
            <w:tcW w:w="577" w:type="dxa"/>
            <w:vMerge w:val="continue"/>
            <w:tcBorders>
              <w:top w:val="nil"/>
              <w:left w:val="single" w:color="auto" w:sz="4" w:space="0"/>
              <w:bottom w:val="single" w:color="auto" w:sz="4" w:space="0"/>
              <w:right w:val="single" w:color="auto" w:sz="4" w:space="0"/>
            </w:tcBorders>
            <w:vAlign w:val="center"/>
          </w:tcPr>
          <w:p w14:paraId="068CE9E4">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66F581CE">
            <w:pPr>
              <w:spacing w:line="320" w:lineRule="exact"/>
              <w:rPr>
                <w:rFonts w:ascii="宋体"/>
                <w:kern w:val="0"/>
              </w:rPr>
            </w:pPr>
          </w:p>
        </w:tc>
        <w:tc>
          <w:tcPr>
            <w:tcW w:w="547" w:type="dxa"/>
            <w:vMerge w:val="restart"/>
            <w:tcBorders>
              <w:top w:val="single" w:color="auto" w:sz="4" w:space="0"/>
              <w:left w:val="single" w:color="auto" w:sz="4" w:space="0"/>
              <w:bottom w:val="single" w:color="auto" w:sz="4" w:space="0"/>
              <w:right w:val="single" w:color="auto" w:sz="4" w:space="0"/>
            </w:tcBorders>
            <w:vAlign w:val="center"/>
          </w:tcPr>
          <w:p w14:paraId="73819B97">
            <w:pPr>
              <w:spacing w:line="320" w:lineRule="exact"/>
              <w:rPr>
                <w:rFonts w:ascii="宋体"/>
                <w:kern w:val="0"/>
              </w:rPr>
            </w:pPr>
            <w:r>
              <w:rPr>
                <w:rFonts w:hint="eastAsia" w:ascii="宋体" w:hAnsi="宋体" w:cs="宋体"/>
                <w:kern w:val="0"/>
              </w:rPr>
              <w:t>效率性</w:t>
            </w:r>
          </w:p>
        </w:tc>
        <w:tc>
          <w:tcPr>
            <w:tcW w:w="571" w:type="dxa"/>
            <w:vMerge w:val="restart"/>
            <w:tcBorders>
              <w:top w:val="single" w:color="auto" w:sz="4" w:space="0"/>
              <w:left w:val="single" w:color="auto" w:sz="4" w:space="0"/>
              <w:bottom w:val="single" w:color="auto" w:sz="4" w:space="0"/>
              <w:right w:val="single" w:color="auto" w:sz="4" w:space="0"/>
            </w:tcBorders>
            <w:vAlign w:val="center"/>
          </w:tcPr>
          <w:p w14:paraId="4E3AF54D">
            <w:pPr>
              <w:spacing w:line="320" w:lineRule="exact"/>
              <w:jc w:val="center"/>
              <w:rPr>
                <w:rFonts w:ascii="宋体"/>
                <w:kern w:val="0"/>
              </w:rPr>
            </w:pPr>
            <w:r>
              <w:rPr>
                <w:rFonts w:hint="eastAsia" w:ascii="宋体" w:hAnsi="宋体" w:cs="宋体"/>
                <w:kern w:val="0"/>
              </w:rPr>
              <w:t>20</w:t>
            </w:r>
          </w:p>
        </w:tc>
        <w:tc>
          <w:tcPr>
            <w:tcW w:w="705" w:type="dxa"/>
            <w:tcBorders>
              <w:top w:val="nil"/>
              <w:left w:val="nil"/>
              <w:bottom w:val="single" w:color="auto" w:sz="4" w:space="0"/>
              <w:right w:val="single" w:color="auto" w:sz="4" w:space="0"/>
            </w:tcBorders>
            <w:vAlign w:val="center"/>
          </w:tcPr>
          <w:p w14:paraId="46E17825">
            <w:pPr>
              <w:spacing w:line="320" w:lineRule="exact"/>
              <w:rPr>
                <w:rFonts w:ascii="宋体"/>
                <w:kern w:val="0"/>
              </w:rPr>
            </w:pPr>
            <w:r>
              <w:rPr>
                <w:rFonts w:hint="eastAsia" w:ascii="宋体" w:hAnsi="宋体" w:cs="宋体"/>
                <w:kern w:val="0"/>
              </w:rPr>
              <w:t>预算执行率</w:t>
            </w:r>
          </w:p>
        </w:tc>
        <w:tc>
          <w:tcPr>
            <w:tcW w:w="567" w:type="dxa"/>
            <w:tcBorders>
              <w:top w:val="nil"/>
              <w:left w:val="nil"/>
              <w:bottom w:val="single" w:color="auto" w:sz="4" w:space="0"/>
              <w:right w:val="single" w:color="auto" w:sz="4" w:space="0"/>
            </w:tcBorders>
            <w:vAlign w:val="center"/>
          </w:tcPr>
          <w:p w14:paraId="52CAEFDE">
            <w:pPr>
              <w:spacing w:line="320" w:lineRule="exact"/>
              <w:jc w:val="center"/>
              <w:rPr>
                <w:rFonts w:ascii="宋体"/>
                <w:kern w:val="0"/>
              </w:rPr>
            </w:pPr>
            <w:r>
              <w:rPr>
                <w:rFonts w:ascii="宋体" w:hAnsi="宋体" w:cs="宋体"/>
                <w:kern w:val="0"/>
              </w:rPr>
              <w:t>6</w:t>
            </w:r>
          </w:p>
        </w:tc>
        <w:tc>
          <w:tcPr>
            <w:tcW w:w="2551" w:type="dxa"/>
            <w:tcBorders>
              <w:top w:val="nil"/>
              <w:left w:val="nil"/>
              <w:bottom w:val="single" w:color="auto" w:sz="4" w:space="0"/>
              <w:right w:val="single" w:color="auto" w:sz="4" w:space="0"/>
            </w:tcBorders>
            <w:vAlign w:val="center"/>
          </w:tcPr>
          <w:p w14:paraId="4E60FBFA">
            <w:pPr>
              <w:spacing w:line="320" w:lineRule="exact"/>
              <w:rPr>
                <w:rFonts w:ascii="宋体"/>
                <w:kern w:val="0"/>
              </w:rPr>
            </w:pPr>
            <w:r>
              <w:rPr>
                <w:rFonts w:hint="eastAsia" w:ascii="宋体" w:hAnsi="宋体" w:cs="宋体"/>
                <w:kern w:val="0"/>
              </w:rPr>
              <w:t>部门（单位）部门预算实际支付进度和既定支付进度的匹配情况，反映和考核部门（单位）预算执行的及时性和均衡性。</w:t>
            </w:r>
          </w:p>
        </w:tc>
        <w:tc>
          <w:tcPr>
            <w:tcW w:w="7371" w:type="dxa"/>
            <w:tcBorders>
              <w:top w:val="nil"/>
              <w:left w:val="nil"/>
              <w:bottom w:val="single" w:color="auto" w:sz="4" w:space="0"/>
              <w:right w:val="single" w:color="auto" w:sz="4" w:space="0"/>
            </w:tcBorders>
            <w:vAlign w:val="center"/>
          </w:tcPr>
          <w:p w14:paraId="79AF87F9">
            <w:pPr>
              <w:spacing w:line="300" w:lineRule="exact"/>
              <w:rPr>
                <w:rFonts w:ascii="宋体" w:hAnsi="宋体" w:cs="宋体"/>
                <w:kern w:val="0"/>
              </w:rPr>
            </w:pPr>
            <w:r>
              <w:rPr>
                <w:rFonts w:hint="eastAsia" w:ascii="宋体" w:hAnsi="宋体" w:cs="宋体"/>
                <w:kern w:val="0"/>
              </w:rPr>
              <w:t>1.一季度预算执行率得分=（一季度部门预算支出进度/序时进度25%）×1分</w:t>
            </w:r>
          </w:p>
          <w:p w14:paraId="5E0059B6">
            <w:pPr>
              <w:spacing w:line="300" w:lineRule="exact"/>
              <w:rPr>
                <w:rFonts w:ascii="宋体" w:hAnsi="宋体" w:cs="宋体"/>
                <w:kern w:val="0"/>
              </w:rPr>
            </w:pPr>
            <w:r>
              <w:rPr>
                <w:rFonts w:hint="eastAsia" w:ascii="宋体" w:hAnsi="宋体" w:cs="宋体"/>
                <w:kern w:val="0"/>
              </w:rPr>
              <w:t>2.二季度预算执行率得分=（二季度部门预算支出进度/序时进度50%）×1分</w:t>
            </w:r>
          </w:p>
          <w:p w14:paraId="4E7E7781">
            <w:pPr>
              <w:spacing w:line="300" w:lineRule="exact"/>
              <w:rPr>
                <w:rFonts w:ascii="宋体" w:hAnsi="宋体" w:cs="宋体"/>
                <w:kern w:val="0"/>
              </w:rPr>
            </w:pPr>
            <w:r>
              <w:rPr>
                <w:rFonts w:hint="eastAsia" w:ascii="宋体" w:hAnsi="宋体" w:cs="宋体"/>
                <w:kern w:val="0"/>
              </w:rPr>
              <w:t>3.三季度预算执行率得分=（三季度部门预算支出进度/序时进度75%）×1分</w:t>
            </w:r>
          </w:p>
          <w:p w14:paraId="64BB6847">
            <w:pPr>
              <w:spacing w:line="300" w:lineRule="exact"/>
              <w:rPr>
                <w:rFonts w:ascii="宋体" w:hAnsi="宋体" w:cs="宋体"/>
                <w:kern w:val="0"/>
              </w:rPr>
            </w:pPr>
            <w:r>
              <w:rPr>
                <w:rFonts w:hint="eastAsia" w:ascii="宋体" w:hAnsi="宋体" w:cs="宋体"/>
                <w:kern w:val="0"/>
              </w:rPr>
              <w:t>4.四季度预算执行率得分=（四季度部门预算支出进度/序时进度100%）×1分</w:t>
            </w:r>
          </w:p>
          <w:p w14:paraId="049C5286">
            <w:pPr>
              <w:spacing w:line="300" w:lineRule="exact"/>
              <w:rPr>
                <w:rFonts w:ascii="宋体" w:hAnsi="宋体" w:cs="宋体"/>
                <w:kern w:val="0"/>
              </w:rPr>
            </w:pPr>
            <w:r>
              <w:rPr>
                <w:rFonts w:hint="eastAsia" w:ascii="宋体" w:hAnsi="宋体" w:cs="宋体"/>
                <w:kern w:val="0"/>
              </w:rPr>
              <w:t>5.全年平均支出进度得分</w:t>
            </w:r>
            <w:r>
              <w:rPr>
                <w:rFonts w:ascii="宋体" w:hAnsi="宋体" w:cs="宋体"/>
                <w:kern w:val="0"/>
              </w:rPr>
              <w:t>=</w:t>
            </w:r>
            <w:r>
              <w:rPr>
                <w:rFonts w:hint="eastAsia" w:ascii="宋体" w:hAnsi="宋体" w:cs="宋体"/>
                <w:kern w:val="0"/>
              </w:rPr>
              <w:t>全年平均执行率×2分</w:t>
            </w:r>
          </w:p>
          <w:p w14:paraId="7C169347">
            <w:pPr>
              <w:spacing w:line="300" w:lineRule="exact"/>
              <w:rPr>
                <w:rFonts w:ascii="宋体" w:hAnsi="宋体" w:cs="宋体"/>
                <w:kern w:val="0"/>
              </w:rPr>
            </w:pPr>
            <w:r>
              <w:rPr>
                <w:rFonts w:hint="eastAsia" w:ascii="宋体" w:hAnsi="宋体" w:cs="宋体"/>
                <w:kern w:val="0"/>
              </w:rPr>
              <w:t>其中：全年平均执行率</w:t>
            </w:r>
            <w:r>
              <w:rPr>
                <w:rFonts w:ascii="宋体" w:hAnsi="宋体" w:cs="宋体"/>
                <w:kern w:val="0"/>
              </w:rPr>
              <w:t>=</w:t>
            </w:r>
            <w:r>
              <w:rPr>
                <w:rFonts w:hint="eastAsia" w:ascii="宋体" w:hAnsi="宋体" w:cs="宋体"/>
                <w:kern w:val="0"/>
              </w:rPr>
              <w:t>∑（每个季度的执行率）÷</w:t>
            </w:r>
            <w:r>
              <w:rPr>
                <w:rFonts w:ascii="宋体" w:hAnsi="宋体" w:cs="宋体"/>
                <w:kern w:val="0"/>
              </w:rPr>
              <w:t>4</w:t>
            </w:r>
          </w:p>
          <w:p w14:paraId="091CF844">
            <w:pPr>
              <w:spacing w:line="300" w:lineRule="exact"/>
              <w:rPr>
                <w:rFonts w:ascii="宋体" w:hAnsi="宋体" w:cs="宋体"/>
                <w:kern w:val="0"/>
              </w:rPr>
            </w:pPr>
            <w:r>
              <w:rPr>
                <w:rFonts w:hint="eastAsia" w:ascii="宋体" w:hAnsi="宋体" w:cs="宋体"/>
                <w:kern w:val="0"/>
              </w:rPr>
              <w:t>季度支出进度=季度末月份累计支出进度（即3、6、9、12月月末支出进度）</w:t>
            </w:r>
          </w:p>
        </w:tc>
        <w:tc>
          <w:tcPr>
            <w:tcW w:w="851" w:type="dxa"/>
            <w:tcBorders>
              <w:top w:val="nil"/>
              <w:left w:val="nil"/>
              <w:bottom w:val="single" w:color="auto" w:sz="4" w:space="0"/>
              <w:right w:val="single" w:color="auto" w:sz="4" w:space="0"/>
            </w:tcBorders>
            <w:vAlign w:val="center"/>
          </w:tcPr>
          <w:p w14:paraId="376D0AB7">
            <w:pPr>
              <w:spacing w:line="320" w:lineRule="exact"/>
              <w:rPr>
                <w:rFonts w:ascii="宋体" w:hAnsi="宋体" w:cs="宋体"/>
                <w:kern w:val="0"/>
              </w:rPr>
            </w:pPr>
            <w:r>
              <w:rPr>
                <w:rFonts w:hint="eastAsia" w:ascii="宋体" w:hAnsi="宋体" w:cs="宋体"/>
                <w:kern w:val="0"/>
              </w:rPr>
              <w:t>4.94</w:t>
            </w:r>
          </w:p>
        </w:tc>
      </w:tr>
      <w:tr w14:paraId="3512709A">
        <w:tblPrEx>
          <w:tblCellMar>
            <w:top w:w="0" w:type="dxa"/>
            <w:left w:w="108" w:type="dxa"/>
            <w:bottom w:w="0" w:type="dxa"/>
            <w:right w:w="108" w:type="dxa"/>
          </w:tblCellMar>
        </w:tblPrEx>
        <w:trPr>
          <w:trHeight w:val="1404" w:hRule="atLeast"/>
        </w:trPr>
        <w:tc>
          <w:tcPr>
            <w:tcW w:w="577" w:type="dxa"/>
            <w:vMerge w:val="continue"/>
            <w:tcBorders>
              <w:top w:val="nil"/>
              <w:left w:val="single" w:color="auto" w:sz="4" w:space="0"/>
              <w:bottom w:val="single" w:color="auto" w:sz="4" w:space="0"/>
              <w:right w:val="single" w:color="auto" w:sz="4" w:space="0"/>
            </w:tcBorders>
            <w:vAlign w:val="center"/>
          </w:tcPr>
          <w:p w14:paraId="6E42C1C7">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1210DFEA">
            <w:pPr>
              <w:spacing w:line="320" w:lineRule="exact"/>
              <w:rPr>
                <w:rFonts w:ascii="宋体"/>
                <w:kern w:val="0"/>
              </w:rPr>
            </w:pPr>
          </w:p>
        </w:tc>
        <w:tc>
          <w:tcPr>
            <w:tcW w:w="547" w:type="dxa"/>
            <w:vMerge w:val="continue"/>
            <w:tcBorders>
              <w:top w:val="single" w:color="auto" w:sz="4" w:space="0"/>
              <w:left w:val="single" w:color="auto" w:sz="4" w:space="0"/>
              <w:bottom w:val="single" w:color="auto" w:sz="4" w:space="0"/>
              <w:right w:val="single" w:color="auto" w:sz="4" w:space="0"/>
            </w:tcBorders>
            <w:vAlign w:val="center"/>
          </w:tcPr>
          <w:p w14:paraId="2C6AC7C9">
            <w:pPr>
              <w:spacing w:line="320" w:lineRule="exact"/>
              <w:rPr>
                <w:rFonts w:ascii="宋体"/>
                <w:kern w:val="0"/>
              </w:rPr>
            </w:pPr>
          </w:p>
        </w:tc>
        <w:tc>
          <w:tcPr>
            <w:tcW w:w="571" w:type="dxa"/>
            <w:vMerge w:val="continue"/>
            <w:tcBorders>
              <w:top w:val="single" w:color="auto" w:sz="4" w:space="0"/>
              <w:left w:val="single" w:color="auto" w:sz="4" w:space="0"/>
              <w:bottom w:val="single" w:color="auto" w:sz="4" w:space="0"/>
              <w:right w:val="single" w:color="auto" w:sz="4" w:space="0"/>
            </w:tcBorders>
            <w:vAlign w:val="center"/>
          </w:tcPr>
          <w:p w14:paraId="177F3134">
            <w:pPr>
              <w:spacing w:line="320" w:lineRule="exact"/>
              <w:jc w:val="center"/>
              <w:rPr>
                <w:rFonts w:ascii="宋体"/>
                <w:kern w:val="0"/>
              </w:rPr>
            </w:pPr>
          </w:p>
        </w:tc>
        <w:tc>
          <w:tcPr>
            <w:tcW w:w="705" w:type="dxa"/>
            <w:tcBorders>
              <w:top w:val="nil"/>
              <w:left w:val="nil"/>
              <w:bottom w:val="single" w:color="auto" w:sz="4" w:space="0"/>
              <w:right w:val="single" w:color="auto" w:sz="4" w:space="0"/>
            </w:tcBorders>
            <w:vAlign w:val="center"/>
          </w:tcPr>
          <w:p w14:paraId="058F60CD">
            <w:pPr>
              <w:spacing w:line="320" w:lineRule="exact"/>
              <w:rPr>
                <w:rFonts w:ascii="宋体"/>
                <w:kern w:val="0"/>
              </w:rPr>
            </w:pPr>
            <w:r>
              <w:rPr>
                <w:rFonts w:hint="eastAsia" w:ascii="宋体" w:hAnsi="宋体" w:cs="宋体"/>
                <w:kern w:val="0"/>
              </w:rPr>
              <w:t>重点工作完成情况</w:t>
            </w:r>
          </w:p>
        </w:tc>
        <w:tc>
          <w:tcPr>
            <w:tcW w:w="567" w:type="dxa"/>
            <w:tcBorders>
              <w:top w:val="nil"/>
              <w:left w:val="nil"/>
              <w:bottom w:val="single" w:color="auto" w:sz="4" w:space="0"/>
              <w:right w:val="single" w:color="auto" w:sz="4" w:space="0"/>
            </w:tcBorders>
            <w:vAlign w:val="center"/>
          </w:tcPr>
          <w:p w14:paraId="688141D5">
            <w:pPr>
              <w:spacing w:line="320" w:lineRule="exact"/>
              <w:jc w:val="center"/>
              <w:rPr>
                <w:rFonts w:ascii="宋体"/>
                <w:kern w:val="0"/>
              </w:rPr>
            </w:pPr>
            <w:r>
              <w:rPr>
                <w:rFonts w:hint="eastAsia" w:ascii="宋体" w:hAnsi="宋体" w:cs="宋体"/>
                <w:kern w:val="0"/>
              </w:rPr>
              <w:t>8</w:t>
            </w:r>
          </w:p>
        </w:tc>
        <w:tc>
          <w:tcPr>
            <w:tcW w:w="2551" w:type="dxa"/>
            <w:tcBorders>
              <w:top w:val="nil"/>
              <w:left w:val="nil"/>
              <w:bottom w:val="single" w:color="auto" w:sz="4" w:space="0"/>
              <w:right w:val="single" w:color="auto" w:sz="4" w:space="0"/>
            </w:tcBorders>
            <w:vAlign w:val="center"/>
          </w:tcPr>
          <w:p w14:paraId="41C76C69">
            <w:pPr>
              <w:spacing w:line="320" w:lineRule="exact"/>
              <w:rPr>
                <w:rFonts w:ascii="宋体"/>
                <w:color w:val="000000"/>
                <w:kern w:val="0"/>
              </w:rPr>
            </w:pPr>
            <w:r>
              <w:rPr>
                <w:rFonts w:hint="eastAsia" w:ascii="宋体" w:hAnsi="宋体" w:cs="宋体"/>
                <w:color w:val="000000"/>
                <w:kern w:val="0"/>
              </w:rPr>
              <w:t>部门（单位）完成党委、政府、人大和上级部门下达或交办的重要事项或工作的完成情况，反映部门对重点工作的办理落实程度。</w:t>
            </w:r>
          </w:p>
        </w:tc>
        <w:tc>
          <w:tcPr>
            <w:tcW w:w="7371" w:type="dxa"/>
            <w:tcBorders>
              <w:top w:val="nil"/>
              <w:left w:val="nil"/>
              <w:bottom w:val="single" w:color="auto" w:sz="4" w:space="0"/>
              <w:right w:val="single" w:color="auto" w:sz="4" w:space="0"/>
            </w:tcBorders>
            <w:vAlign w:val="center"/>
          </w:tcPr>
          <w:p w14:paraId="1A96BE6E">
            <w:pPr>
              <w:spacing w:line="300" w:lineRule="exact"/>
              <w:ind w:firstLine="420" w:firstLineChars="200"/>
              <w:rPr>
                <w:rFonts w:ascii="宋体" w:hAnsi="宋体" w:cs="宋体"/>
                <w:kern w:val="0"/>
              </w:rPr>
            </w:pPr>
            <w:r>
              <w:rPr>
                <w:rFonts w:hint="eastAsia" w:ascii="宋体" w:hAnsi="宋体" w:cs="宋体"/>
                <w:kern w:val="0"/>
              </w:rPr>
              <w:t>重点工作是指中央和省相关部门、市委、市政府、市人大、区委、区政府、区人大交办或下达的工作任务。全部按期保质保量完成得8分；一项重点工作没有完成扣4分，扣完为止。</w:t>
            </w:r>
          </w:p>
          <w:p w14:paraId="241443FA">
            <w:pPr>
              <w:spacing w:line="300" w:lineRule="exact"/>
              <w:rPr>
                <w:rFonts w:ascii="宋体" w:hAnsi="宋体" w:cs="宋体"/>
                <w:kern w:val="0"/>
              </w:rPr>
            </w:pPr>
            <w:r>
              <w:rPr>
                <w:rFonts w:hint="eastAsia" w:ascii="宋体" w:hAnsi="宋体" w:cs="宋体"/>
                <w:kern w:val="0"/>
              </w:rPr>
              <w:t>注：重点工作完成情况可以参考区委区政府督查部门或其他权威部门的统计数据（如有）。</w:t>
            </w:r>
          </w:p>
        </w:tc>
        <w:tc>
          <w:tcPr>
            <w:tcW w:w="851" w:type="dxa"/>
            <w:tcBorders>
              <w:top w:val="nil"/>
              <w:left w:val="nil"/>
              <w:bottom w:val="single" w:color="auto" w:sz="4" w:space="0"/>
              <w:right w:val="single" w:color="auto" w:sz="4" w:space="0"/>
            </w:tcBorders>
            <w:vAlign w:val="center"/>
          </w:tcPr>
          <w:p w14:paraId="38808245">
            <w:pPr>
              <w:spacing w:line="320" w:lineRule="exact"/>
              <w:jc w:val="center"/>
              <w:rPr>
                <w:rFonts w:ascii="宋体" w:hAnsi="宋体" w:cs="宋体"/>
                <w:kern w:val="0"/>
              </w:rPr>
            </w:pPr>
            <w:r>
              <w:rPr>
                <w:rFonts w:hint="eastAsia" w:ascii="宋体" w:hAnsi="宋体" w:cs="宋体"/>
                <w:kern w:val="0"/>
              </w:rPr>
              <w:t>8</w:t>
            </w:r>
          </w:p>
        </w:tc>
      </w:tr>
      <w:tr w14:paraId="397C22FF">
        <w:tblPrEx>
          <w:tblCellMar>
            <w:top w:w="0" w:type="dxa"/>
            <w:left w:w="108" w:type="dxa"/>
            <w:bottom w:w="0" w:type="dxa"/>
            <w:right w:w="108" w:type="dxa"/>
          </w:tblCellMar>
        </w:tblPrEx>
        <w:trPr>
          <w:trHeight w:val="892" w:hRule="atLeast"/>
        </w:trPr>
        <w:tc>
          <w:tcPr>
            <w:tcW w:w="577" w:type="dxa"/>
            <w:vMerge w:val="continue"/>
            <w:tcBorders>
              <w:top w:val="nil"/>
              <w:left w:val="single" w:color="auto" w:sz="4" w:space="0"/>
              <w:bottom w:val="single" w:color="auto" w:sz="4" w:space="0"/>
              <w:right w:val="single" w:color="auto" w:sz="4" w:space="0"/>
            </w:tcBorders>
            <w:vAlign w:val="center"/>
          </w:tcPr>
          <w:p w14:paraId="1F768E20">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223734B9">
            <w:pPr>
              <w:spacing w:line="320" w:lineRule="exact"/>
              <w:rPr>
                <w:rFonts w:ascii="宋体"/>
                <w:kern w:val="0"/>
              </w:rPr>
            </w:pPr>
          </w:p>
        </w:tc>
        <w:tc>
          <w:tcPr>
            <w:tcW w:w="547" w:type="dxa"/>
            <w:vMerge w:val="continue"/>
            <w:tcBorders>
              <w:top w:val="single" w:color="auto" w:sz="4" w:space="0"/>
              <w:left w:val="single" w:color="auto" w:sz="4" w:space="0"/>
              <w:bottom w:val="single" w:color="auto" w:sz="4" w:space="0"/>
              <w:right w:val="single" w:color="auto" w:sz="4" w:space="0"/>
            </w:tcBorders>
            <w:vAlign w:val="center"/>
          </w:tcPr>
          <w:p w14:paraId="3AEE618B">
            <w:pPr>
              <w:spacing w:line="320" w:lineRule="exact"/>
              <w:rPr>
                <w:rFonts w:ascii="宋体"/>
                <w:kern w:val="0"/>
              </w:rPr>
            </w:pPr>
          </w:p>
        </w:tc>
        <w:tc>
          <w:tcPr>
            <w:tcW w:w="571" w:type="dxa"/>
            <w:vMerge w:val="continue"/>
            <w:tcBorders>
              <w:top w:val="single" w:color="auto" w:sz="4" w:space="0"/>
              <w:left w:val="single" w:color="auto" w:sz="4" w:space="0"/>
              <w:bottom w:val="single" w:color="auto" w:sz="4" w:space="0"/>
              <w:right w:val="single" w:color="auto" w:sz="4" w:space="0"/>
            </w:tcBorders>
            <w:vAlign w:val="center"/>
          </w:tcPr>
          <w:p w14:paraId="6620DE25">
            <w:pPr>
              <w:spacing w:line="320" w:lineRule="exact"/>
              <w:jc w:val="center"/>
              <w:rPr>
                <w:rFonts w:ascii="宋体"/>
                <w:kern w:val="0"/>
              </w:rPr>
            </w:pPr>
          </w:p>
        </w:tc>
        <w:tc>
          <w:tcPr>
            <w:tcW w:w="705" w:type="dxa"/>
            <w:tcBorders>
              <w:top w:val="nil"/>
              <w:left w:val="nil"/>
              <w:bottom w:val="single" w:color="auto" w:sz="4" w:space="0"/>
              <w:right w:val="single" w:color="auto" w:sz="4" w:space="0"/>
            </w:tcBorders>
            <w:vAlign w:val="center"/>
          </w:tcPr>
          <w:p w14:paraId="15F72AAE">
            <w:pPr>
              <w:spacing w:line="320" w:lineRule="exact"/>
              <w:rPr>
                <w:rFonts w:ascii="宋体"/>
                <w:kern w:val="0"/>
              </w:rPr>
            </w:pPr>
            <w:r>
              <w:rPr>
                <w:rFonts w:hint="eastAsia" w:ascii="宋体" w:hAnsi="宋体" w:cs="宋体"/>
                <w:kern w:val="0"/>
              </w:rPr>
              <w:t>项目完成及时性</w:t>
            </w:r>
          </w:p>
        </w:tc>
        <w:tc>
          <w:tcPr>
            <w:tcW w:w="567" w:type="dxa"/>
            <w:tcBorders>
              <w:top w:val="nil"/>
              <w:left w:val="nil"/>
              <w:bottom w:val="single" w:color="auto" w:sz="4" w:space="0"/>
              <w:right w:val="single" w:color="auto" w:sz="4" w:space="0"/>
            </w:tcBorders>
            <w:vAlign w:val="center"/>
          </w:tcPr>
          <w:p w14:paraId="462D04A4">
            <w:pPr>
              <w:spacing w:line="320" w:lineRule="exact"/>
              <w:jc w:val="center"/>
              <w:rPr>
                <w:rFonts w:ascii="宋体"/>
                <w:kern w:val="0"/>
              </w:rPr>
            </w:pPr>
            <w:r>
              <w:rPr>
                <w:rFonts w:ascii="宋体" w:hAnsi="宋体" w:cs="宋体"/>
                <w:kern w:val="0"/>
              </w:rPr>
              <w:t>6</w:t>
            </w:r>
          </w:p>
        </w:tc>
        <w:tc>
          <w:tcPr>
            <w:tcW w:w="2551" w:type="dxa"/>
            <w:tcBorders>
              <w:top w:val="nil"/>
              <w:left w:val="nil"/>
              <w:bottom w:val="single" w:color="auto" w:sz="4" w:space="0"/>
              <w:right w:val="single" w:color="auto" w:sz="4" w:space="0"/>
            </w:tcBorders>
            <w:vAlign w:val="center"/>
          </w:tcPr>
          <w:p w14:paraId="4817E098">
            <w:pPr>
              <w:spacing w:line="320" w:lineRule="exact"/>
              <w:rPr>
                <w:rFonts w:ascii="宋体"/>
                <w:kern w:val="0"/>
              </w:rPr>
            </w:pPr>
            <w:r>
              <w:rPr>
                <w:rFonts w:hint="eastAsia" w:ascii="宋体" w:hAnsi="宋体" w:cs="宋体"/>
                <w:kern w:val="0"/>
              </w:rPr>
              <w:t>部门（单位）项目完成情况与预期时间对比的情况。</w:t>
            </w:r>
          </w:p>
        </w:tc>
        <w:tc>
          <w:tcPr>
            <w:tcW w:w="7371" w:type="dxa"/>
            <w:tcBorders>
              <w:top w:val="nil"/>
              <w:left w:val="nil"/>
              <w:bottom w:val="single" w:color="auto" w:sz="4" w:space="0"/>
              <w:right w:val="single" w:color="auto" w:sz="4" w:space="0"/>
            </w:tcBorders>
            <w:vAlign w:val="center"/>
          </w:tcPr>
          <w:p w14:paraId="570FF8F7">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所有部门预算安排的项目均按计划时间完成（</w:t>
            </w:r>
            <w:r>
              <w:rPr>
                <w:rFonts w:ascii="宋体" w:hAnsi="宋体" w:cs="宋体"/>
                <w:kern w:val="0"/>
              </w:rPr>
              <w:t>6</w:t>
            </w:r>
            <w:r>
              <w:rPr>
                <w:rFonts w:hint="eastAsia" w:ascii="宋体" w:hAnsi="宋体" w:cs="宋体"/>
                <w:kern w:val="0"/>
              </w:rPr>
              <w:t>分）；</w:t>
            </w:r>
          </w:p>
          <w:p w14:paraId="1ACEFC17">
            <w:pPr>
              <w:spacing w:line="300" w:lineRule="exact"/>
              <w:ind w:firstLine="420" w:firstLineChars="200"/>
              <w:rPr>
                <w:rFonts w:ascii="宋体" w:hAnsi="宋体" w:cs="宋体"/>
                <w:kern w:val="0"/>
              </w:rPr>
            </w:pPr>
            <w:r>
              <w:rPr>
                <w:rFonts w:ascii="宋体" w:hAnsi="宋体" w:cs="宋体"/>
                <w:kern w:val="0"/>
              </w:rPr>
              <w:t>2.</w:t>
            </w:r>
            <w:r>
              <w:rPr>
                <w:rFonts w:hint="eastAsia" w:ascii="宋体" w:hAnsi="宋体" w:cs="宋体"/>
                <w:kern w:val="0"/>
              </w:rPr>
              <w:t>部分项目未按计划时间完成的，本指标得分</w:t>
            </w:r>
            <w:r>
              <w:rPr>
                <w:rFonts w:ascii="宋体" w:hAnsi="宋体" w:cs="宋体"/>
                <w:kern w:val="0"/>
              </w:rPr>
              <w:t>=</w:t>
            </w:r>
            <w:r>
              <w:rPr>
                <w:rFonts w:hint="eastAsia" w:ascii="宋体" w:hAnsi="宋体" w:cs="宋体"/>
                <w:kern w:val="0"/>
              </w:rPr>
              <w:t>已完成项目数</w:t>
            </w:r>
            <w:r>
              <w:rPr>
                <w:rFonts w:ascii="宋体" w:hAnsi="宋体" w:cs="宋体"/>
                <w:kern w:val="0"/>
              </w:rPr>
              <w:t>/</w:t>
            </w:r>
            <w:r>
              <w:rPr>
                <w:rFonts w:hint="eastAsia" w:ascii="宋体" w:hAnsi="宋体" w:cs="宋体"/>
                <w:kern w:val="0"/>
              </w:rPr>
              <w:t>计划完成项目总数×</w:t>
            </w:r>
            <w:r>
              <w:rPr>
                <w:rFonts w:ascii="宋体" w:hAnsi="宋体" w:cs="宋体"/>
                <w:kern w:val="0"/>
              </w:rPr>
              <w:t>6</w:t>
            </w:r>
            <w:r>
              <w:rPr>
                <w:rFonts w:hint="eastAsia" w:ascii="宋体" w:hAnsi="宋体" w:cs="宋体"/>
                <w:kern w:val="0"/>
              </w:rPr>
              <w:t>分。</w:t>
            </w:r>
          </w:p>
        </w:tc>
        <w:tc>
          <w:tcPr>
            <w:tcW w:w="851" w:type="dxa"/>
            <w:tcBorders>
              <w:top w:val="nil"/>
              <w:left w:val="nil"/>
              <w:bottom w:val="single" w:color="auto" w:sz="4" w:space="0"/>
              <w:right w:val="single" w:color="auto" w:sz="4" w:space="0"/>
            </w:tcBorders>
            <w:vAlign w:val="center"/>
          </w:tcPr>
          <w:p w14:paraId="11A9C876">
            <w:pPr>
              <w:spacing w:line="320" w:lineRule="exact"/>
              <w:jc w:val="center"/>
              <w:rPr>
                <w:rFonts w:ascii="宋体" w:hAnsi="宋体" w:cs="宋体"/>
                <w:kern w:val="0"/>
              </w:rPr>
            </w:pPr>
            <w:r>
              <w:rPr>
                <w:rFonts w:hint="eastAsia" w:ascii="宋体" w:hAnsi="宋体" w:cs="宋体"/>
                <w:kern w:val="0"/>
              </w:rPr>
              <w:t>6</w:t>
            </w:r>
          </w:p>
        </w:tc>
      </w:tr>
      <w:tr w14:paraId="5C771B73">
        <w:tblPrEx>
          <w:tblCellMar>
            <w:top w:w="0" w:type="dxa"/>
            <w:left w:w="108" w:type="dxa"/>
            <w:bottom w:w="0" w:type="dxa"/>
            <w:right w:w="108" w:type="dxa"/>
          </w:tblCellMar>
        </w:tblPrEx>
        <w:trPr>
          <w:trHeight w:val="728" w:hRule="atLeast"/>
        </w:trPr>
        <w:tc>
          <w:tcPr>
            <w:tcW w:w="577" w:type="dxa"/>
            <w:vMerge w:val="continue"/>
            <w:tcBorders>
              <w:top w:val="nil"/>
              <w:left w:val="single" w:color="auto" w:sz="4" w:space="0"/>
              <w:bottom w:val="single" w:color="auto" w:sz="4" w:space="0"/>
              <w:right w:val="single" w:color="auto" w:sz="4" w:space="0"/>
            </w:tcBorders>
            <w:vAlign w:val="center"/>
          </w:tcPr>
          <w:p w14:paraId="6A575917">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3401B9FF">
            <w:pPr>
              <w:spacing w:line="320" w:lineRule="exact"/>
              <w:rPr>
                <w:rFonts w:ascii="宋体"/>
                <w:kern w:val="0"/>
              </w:rPr>
            </w:pPr>
          </w:p>
        </w:tc>
        <w:tc>
          <w:tcPr>
            <w:tcW w:w="547" w:type="dxa"/>
            <w:tcBorders>
              <w:top w:val="nil"/>
              <w:left w:val="nil"/>
              <w:bottom w:val="single" w:color="auto" w:sz="4" w:space="0"/>
              <w:right w:val="single" w:color="auto" w:sz="4" w:space="0"/>
            </w:tcBorders>
            <w:vAlign w:val="center"/>
          </w:tcPr>
          <w:p w14:paraId="41494207">
            <w:pPr>
              <w:spacing w:line="320" w:lineRule="exact"/>
              <w:rPr>
                <w:rFonts w:ascii="宋体"/>
                <w:kern w:val="0"/>
              </w:rPr>
            </w:pPr>
            <w:r>
              <w:rPr>
                <w:rFonts w:hint="eastAsia" w:ascii="宋体" w:hAnsi="宋体" w:cs="宋体"/>
                <w:kern w:val="0"/>
              </w:rPr>
              <w:t>效果性</w:t>
            </w:r>
          </w:p>
        </w:tc>
        <w:tc>
          <w:tcPr>
            <w:tcW w:w="571" w:type="dxa"/>
            <w:tcBorders>
              <w:top w:val="nil"/>
              <w:left w:val="nil"/>
              <w:bottom w:val="single" w:color="auto" w:sz="4" w:space="0"/>
              <w:right w:val="single" w:color="auto" w:sz="4" w:space="0"/>
            </w:tcBorders>
            <w:vAlign w:val="center"/>
          </w:tcPr>
          <w:p w14:paraId="3276F0F1">
            <w:pPr>
              <w:spacing w:line="320" w:lineRule="exact"/>
              <w:jc w:val="center"/>
              <w:rPr>
                <w:rFonts w:ascii="宋体"/>
                <w:kern w:val="0"/>
              </w:rPr>
            </w:pPr>
            <w:r>
              <w:rPr>
                <w:rFonts w:ascii="宋体" w:hAnsi="宋体" w:cs="宋体"/>
                <w:kern w:val="0"/>
              </w:rPr>
              <w:t>25</w:t>
            </w:r>
          </w:p>
        </w:tc>
        <w:tc>
          <w:tcPr>
            <w:tcW w:w="705" w:type="dxa"/>
            <w:tcBorders>
              <w:top w:val="nil"/>
              <w:left w:val="nil"/>
              <w:bottom w:val="single" w:color="auto" w:sz="4" w:space="0"/>
              <w:right w:val="single" w:color="auto" w:sz="4" w:space="0"/>
            </w:tcBorders>
            <w:vAlign w:val="center"/>
          </w:tcPr>
          <w:p w14:paraId="180624B2">
            <w:pPr>
              <w:spacing w:line="320" w:lineRule="exact"/>
              <w:rPr>
                <w:rFonts w:ascii="宋体"/>
                <w:kern w:val="0"/>
              </w:rPr>
            </w:pPr>
            <w:r>
              <w:rPr>
                <w:rFonts w:hint="eastAsia" w:ascii="宋体" w:hAnsi="宋体" w:cs="宋体"/>
                <w:kern w:val="0"/>
              </w:rPr>
              <w:t>社会效益、经济效益、生态效益及可持续影响等</w:t>
            </w:r>
          </w:p>
        </w:tc>
        <w:tc>
          <w:tcPr>
            <w:tcW w:w="567" w:type="dxa"/>
            <w:tcBorders>
              <w:top w:val="nil"/>
              <w:left w:val="nil"/>
              <w:bottom w:val="single" w:color="auto" w:sz="4" w:space="0"/>
              <w:right w:val="single" w:color="auto" w:sz="4" w:space="0"/>
            </w:tcBorders>
            <w:vAlign w:val="center"/>
          </w:tcPr>
          <w:p w14:paraId="3EBA7DA8">
            <w:pPr>
              <w:spacing w:line="320" w:lineRule="exact"/>
              <w:jc w:val="center"/>
              <w:rPr>
                <w:rFonts w:ascii="宋体"/>
                <w:color w:val="000000"/>
                <w:kern w:val="0"/>
              </w:rPr>
            </w:pPr>
            <w:r>
              <w:rPr>
                <w:rFonts w:ascii="宋体" w:hAnsi="宋体" w:cs="宋体"/>
                <w:color w:val="000000"/>
                <w:kern w:val="0"/>
              </w:rPr>
              <w:t>25</w:t>
            </w:r>
          </w:p>
        </w:tc>
        <w:tc>
          <w:tcPr>
            <w:tcW w:w="2551" w:type="dxa"/>
            <w:tcBorders>
              <w:top w:val="nil"/>
              <w:left w:val="nil"/>
              <w:bottom w:val="single" w:color="auto" w:sz="4" w:space="0"/>
              <w:right w:val="single" w:color="auto" w:sz="4" w:space="0"/>
            </w:tcBorders>
            <w:vAlign w:val="center"/>
          </w:tcPr>
          <w:p w14:paraId="13736A54">
            <w:pPr>
              <w:spacing w:line="320" w:lineRule="exact"/>
              <w:rPr>
                <w:rFonts w:ascii="宋体"/>
                <w:color w:val="000000"/>
                <w:kern w:val="0"/>
              </w:rPr>
            </w:pPr>
            <w:r>
              <w:rPr>
                <w:rFonts w:hint="eastAsia" w:ascii="宋体" w:hAnsi="宋体" w:cs="宋体"/>
                <w:color w:val="000000"/>
                <w:kern w:val="0"/>
              </w:rPr>
              <w:t>部门（单位）履行职责、完成各项重大政策和项目的效果，以及对经济发展、社会发展、生态环境所带来的直接或间接影响。</w:t>
            </w:r>
          </w:p>
        </w:tc>
        <w:tc>
          <w:tcPr>
            <w:tcW w:w="7371" w:type="dxa"/>
            <w:tcBorders>
              <w:top w:val="nil"/>
              <w:left w:val="nil"/>
              <w:bottom w:val="single" w:color="auto" w:sz="4" w:space="0"/>
              <w:right w:val="single" w:color="auto" w:sz="4" w:space="0"/>
            </w:tcBorders>
            <w:vAlign w:val="center"/>
          </w:tcPr>
          <w:p w14:paraId="4DC2D941">
            <w:pPr>
              <w:spacing w:line="300" w:lineRule="exact"/>
              <w:ind w:firstLine="420" w:firstLineChars="200"/>
              <w:rPr>
                <w:rFonts w:ascii="宋体" w:hAnsi="宋体" w:cs="宋体"/>
                <w:color w:val="000000"/>
                <w:kern w:val="0"/>
              </w:rPr>
            </w:pPr>
            <w:r>
              <w:rPr>
                <w:rFonts w:hint="eastAsia" w:ascii="宋体" w:hAnsi="宋体" w:cs="宋体"/>
                <w:color w:val="000000"/>
                <w:kern w:val="0"/>
              </w:rPr>
              <w:t>根据部门（单位）职责，结合部门整体支出绩效目标，合理设置个性化绩效指标，通过绩效指标完成情况与目标值对比分析进行评分，未实现绩效目标的酌情扣分。</w:t>
            </w:r>
          </w:p>
          <w:p w14:paraId="47156A0E">
            <w:pPr>
              <w:spacing w:line="300" w:lineRule="exact"/>
              <w:ind w:firstLine="420" w:firstLineChars="200"/>
              <w:rPr>
                <w:rFonts w:ascii="宋体" w:hAnsi="宋体" w:cs="宋体"/>
                <w:color w:val="000000"/>
                <w:kern w:val="0"/>
              </w:rPr>
            </w:pPr>
            <w:r>
              <w:rPr>
                <w:rFonts w:hint="eastAsia" w:ascii="宋体" w:hAnsi="宋体" w:cs="宋体"/>
                <w:color w:val="000000"/>
                <w:kern w:val="0"/>
              </w:rPr>
              <w:t>根据部门（部门）履职内容和性质，从社会效益、经济效益、生态效益、可持续影响等方面，至少选择三个方面对工作实效和效益进行评价。</w:t>
            </w:r>
          </w:p>
        </w:tc>
        <w:tc>
          <w:tcPr>
            <w:tcW w:w="851" w:type="dxa"/>
            <w:tcBorders>
              <w:top w:val="nil"/>
              <w:left w:val="nil"/>
              <w:bottom w:val="single" w:color="auto" w:sz="4" w:space="0"/>
              <w:right w:val="single" w:color="auto" w:sz="4" w:space="0"/>
            </w:tcBorders>
            <w:vAlign w:val="center"/>
          </w:tcPr>
          <w:p w14:paraId="1B9273F4">
            <w:pPr>
              <w:spacing w:line="320" w:lineRule="exact"/>
              <w:jc w:val="center"/>
              <w:rPr>
                <w:rFonts w:ascii="宋体" w:hAnsi="宋体" w:cs="宋体"/>
                <w:color w:val="000000"/>
                <w:kern w:val="0"/>
                <w:sz w:val="22"/>
                <w:szCs w:val="28"/>
              </w:rPr>
            </w:pPr>
            <w:r>
              <w:rPr>
                <w:rFonts w:hint="eastAsia" w:ascii="宋体" w:hAnsi="宋体" w:cs="宋体"/>
                <w:color w:val="000000"/>
                <w:kern w:val="0"/>
              </w:rPr>
              <w:t>25</w:t>
            </w:r>
          </w:p>
        </w:tc>
      </w:tr>
      <w:tr w14:paraId="0066DBE5">
        <w:tblPrEx>
          <w:tblCellMar>
            <w:top w:w="0" w:type="dxa"/>
            <w:left w:w="108" w:type="dxa"/>
            <w:bottom w:w="0" w:type="dxa"/>
            <w:right w:w="108" w:type="dxa"/>
          </w:tblCellMar>
        </w:tblPrEx>
        <w:trPr>
          <w:trHeight w:val="1214" w:hRule="atLeast"/>
        </w:trPr>
        <w:tc>
          <w:tcPr>
            <w:tcW w:w="577" w:type="dxa"/>
            <w:vMerge w:val="continue"/>
            <w:tcBorders>
              <w:top w:val="nil"/>
              <w:left w:val="single" w:color="auto" w:sz="4" w:space="0"/>
              <w:bottom w:val="single" w:color="auto" w:sz="4" w:space="0"/>
              <w:right w:val="single" w:color="auto" w:sz="4" w:space="0"/>
            </w:tcBorders>
            <w:vAlign w:val="center"/>
          </w:tcPr>
          <w:p w14:paraId="6064F360">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1BD99998">
            <w:pPr>
              <w:spacing w:line="320" w:lineRule="exact"/>
              <w:rPr>
                <w:rFonts w:ascii="宋体"/>
                <w:kern w:val="0"/>
              </w:rPr>
            </w:pPr>
          </w:p>
        </w:tc>
        <w:tc>
          <w:tcPr>
            <w:tcW w:w="547" w:type="dxa"/>
            <w:vMerge w:val="restart"/>
            <w:tcBorders>
              <w:top w:val="nil"/>
              <w:left w:val="single" w:color="auto" w:sz="4" w:space="0"/>
              <w:bottom w:val="single" w:color="auto" w:sz="4" w:space="0"/>
              <w:right w:val="single" w:color="auto" w:sz="4" w:space="0"/>
            </w:tcBorders>
            <w:vAlign w:val="center"/>
          </w:tcPr>
          <w:p w14:paraId="05E62F65">
            <w:pPr>
              <w:spacing w:line="320" w:lineRule="exact"/>
              <w:rPr>
                <w:rFonts w:ascii="宋体"/>
                <w:kern w:val="0"/>
              </w:rPr>
            </w:pPr>
            <w:r>
              <w:rPr>
                <w:rFonts w:hint="eastAsia" w:ascii="宋体" w:hAnsi="宋体" w:cs="宋体"/>
                <w:kern w:val="0"/>
              </w:rPr>
              <w:t>公平性</w:t>
            </w:r>
          </w:p>
        </w:tc>
        <w:tc>
          <w:tcPr>
            <w:tcW w:w="571" w:type="dxa"/>
            <w:vMerge w:val="restart"/>
            <w:tcBorders>
              <w:top w:val="nil"/>
              <w:left w:val="single" w:color="auto" w:sz="4" w:space="0"/>
              <w:bottom w:val="single" w:color="auto" w:sz="4" w:space="0"/>
              <w:right w:val="single" w:color="auto" w:sz="4" w:space="0"/>
            </w:tcBorders>
            <w:vAlign w:val="center"/>
          </w:tcPr>
          <w:p w14:paraId="6AB4DAA1">
            <w:pPr>
              <w:spacing w:line="320" w:lineRule="exact"/>
              <w:jc w:val="center"/>
              <w:rPr>
                <w:rFonts w:ascii="宋体"/>
                <w:kern w:val="0"/>
              </w:rPr>
            </w:pPr>
            <w:r>
              <w:rPr>
                <w:rFonts w:hint="eastAsia" w:ascii="宋体" w:hAnsi="宋体" w:cs="宋体"/>
                <w:kern w:val="0"/>
              </w:rPr>
              <w:t>9</w:t>
            </w:r>
          </w:p>
        </w:tc>
        <w:tc>
          <w:tcPr>
            <w:tcW w:w="705" w:type="dxa"/>
            <w:tcBorders>
              <w:top w:val="nil"/>
              <w:left w:val="nil"/>
              <w:bottom w:val="single" w:color="auto" w:sz="4" w:space="0"/>
              <w:right w:val="single" w:color="auto" w:sz="4" w:space="0"/>
            </w:tcBorders>
            <w:vAlign w:val="center"/>
          </w:tcPr>
          <w:p w14:paraId="37344162">
            <w:pPr>
              <w:spacing w:line="320" w:lineRule="exact"/>
              <w:rPr>
                <w:rFonts w:ascii="宋体"/>
                <w:kern w:val="0"/>
              </w:rPr>
            </w:pPr>
            <w:r>
              <w:rPr>
                <w:rFonts w:hint="eastAsia" w:ascii="宋体" w:hAnsi="宋体" w:cs="宋体"/>
                <w:kern w:val="0"/>
              </w:rPr>
              <w:t>群众信访办理情况</w:t>
            </w:r>
          </w:p>
        </w:tc>
        <w:tc>
          <w:tcPr>
            <w:tcW w:w="567" w:type="dxa"/>
            <w:tcBorders>
              <w:top w:val="nil"/>
              <w:left w:val="nil"/>
              <w:bottom w:val="single" w:color="auto" w:sz="4" w:space="0"/>
              <w:right w:val="single" w:color="auto" w:sz="4" w:space="0"/>
            </w:tcBorders>
            <w:vAlign w:val="center"/>
          </w:tcPr>
          <w:p w14:paraId="6ABD1FD8">
            <w:pPr>
              <w:spacing w:line="320" w:lineRule="exact"/>
              <w:jc w:val="center"/>
              <w:rPr>
                <w:rFonts w:ascii="宋体"/>
                <w:kern w:val="0"/>
              </w:rPr>
            </w:pPr>
            <w:r>
              <w:rPr>
                <w:rFonts w:ascii="宋体" w:hAnsi="宋体" w:cs="宋体"/>
                <w:kern w:val="0"/>
              </w:rPr>
              <w:t>3</w:t>
            </w:r>
          </w:p>
        </w:tc>
        <w:tc>
          <w:tcPr>
            <w:tcW w:w="2551" w:type="dxa"/>
            <w:tcBorders>
              <w:top w:val="nil"/>
              <w:left w:val="nil"/>
              <w:bottom w:val="single" w:color="auto" w:sz="4" w:space="0"/>
              <w:right w:val="single" w:color="auto" w:sz="4" w:space="0"/>
            </w:tcBorders>
            <w:vAlign w:val="center"/>
          </w:tcPr>
          <w:p w14:paraId="747B9A1A">
            <w:pPr>
              <w:spacing w:line="320" w:lineRule="exact"/>
              <w:rPr>
                <w:rFonts w:ascii="宋体"/>
                <w:kern w:val="0"/>
              </w:rPr>
            </w:pPr>
            <w:r>
              <w:rPr>
                <w:rFonts w:hint="eastAsia" w:ascii="宋体" w:hAnsi="宋体" w:cs="宋体"/>
                <w:kern w:val="0"/>
              </w:rPr>
              <w:t>部门（单位）对群众信访意见的完成情况及及时性，反映部门（单位）对服务群众的重视程度。</w:t>
            </w:r>
          </w:p>
        </w:tc>
        <w:tc>
          <w:tcPr>
            <w:tcW w:w="7371" w:type="dxa"/>
            <w:tcBorders>
              <w:top w:val="nil"/>
              <w:left w:val="nil"/>
              <w:bottom w:val="single" w:color="auto" w:sz="4" w:space="0"/>
              <w:right w:val="single" w:color="auto" w:sz="4" w:space="0"/>
            </w:tcBorders>
            <w:vAlign w:val="center"/>
          </w:tcPr>
          <w:p w14:paraId="44D3C238">
            <w:pPr>
              <w:spacing w:line="300" w:lineRule="exact"/>
              <w:ind w:firstLine="420" w:firstLineChars="200"/>
              <w:rPr>
                <w:rFonts w:ascii="宋体" w:hAnsi="宋体" w:cs="宋体"/>
                <w:kern w:val="0"/>
              </w:rPr>
            </w:pPr>
            <w:r>
              <w:rPr>
                <w:rFonts w:ascii="宋体" w:hAnsi="宋体" w:cs="宋体"/>
                <w:kern w:val="0"/>
              </w:rPr>
              <w:t>1.</w:t>
            </w:r>
            <w:r>
              <w:rPr>
                <w:rFonts w:hint="eastAsia" w:ascii="宋体" w:hAnsi="宋体" w:cs="宋体"/>
                <w:kern w:val="0"/>
              </w:rPr>
              <w:t>建立了便利的群众意见反映渠道和群众意见办理回复机制（</w:t>
            </w:r>
            <w:r>
              <w:rPr>
                <w:rFonts w:ascii="宋体" w:hAnsi="宋体" w:cs="宋体"/>
                <w:kern w:val="0"/>
              </w:rPr>
              <w:t>1</w:t>
            </w:r>
            <w:r>
              <w:rPr>
                <w:rFonts w:hint="eastAsia" w:ascii="宋体" w:hAnsi="宋体" w:cs="宋体"/>
                <w:kern w:val="0"/>
              </w:rPr>
              <w:t>分）；</w:t>
            </w:r>
          </w:p>
          <w:p w14:paraId="0ACEB20B">
            <w:pPr>
              <w:spacing w:line="300" w:lineRule="exact"/>
              <w:ind w:firstLine="420" w:firstLineChars="200"/>
              <w:rPr>
                <w:rFonts w:ascii="宋体" w:hAnsi="宋体" w:cs="宋体"/>
                <w:kern w:val="0"/>
              </w:rPr>
            </w:pPr>
            <w:r>
              <w:rPr>
                <w:rFonts w:ascii="宋体" w:hAnsi="宋体" w:cs="宋体"/>
                <w:kern w:val="0"/>
              </w:rPr>
              <w:t>2.</w:t>
            </w:r>
            <w:r>
              <w:rPr>
                <w:rFonts w:hint="eastAsia" w:ascii="宋体" w:hAnsi="宋体" w:cs="宋体"/>
                <w:kern w:val="0"/>
              </w:rPr>
              <w:t>当年度群众信访办理回复率达100%（</w:t>
            </w:r>
            <w:r>
              <w:rPr>
                <w:rFonts w:ascii="宋体" w:hAnsi="宋体" w:cs="宋体"/>
                <w:kern w:val="0"/>
              </w:rPr>
              <w:t>1</w:t>
            </w:r>
            <w:r>
              <w:rPr>
                <w:rFonts w:hint="eastAsia" w:ascii="宋体" w:hAnsi="宋体" w:cs="宋体"/>
                <w:kern w:val="0"/>
              </w:rPr>
              <w:t>分）；</w:t>
            </w:r>
          </w:p>
          <w:p w14:paraId="3690FF5A">
            <w:pPr>
              <w:spacing w:line="300" w:lineRule="exact"/>
              <w:ind w:firstLine="420" w:firstLineChars="200"/>
              <w:rPr>
                <w:rFonts w:ascii="宋体" w:hAnsi="宋体" w:cs="宋体"/>
                <w:kern w:val="0"/>
              </w:rPr>
            </w:pPr>
            <w:r>
              <w:rPr>
                <w:rFonts w:ascii="宋体" w:hAnsi="宋体" w:cs="宋体"/>
                <w:kern w:val="0"/>
              </w:rPr>
              <w:t>3.</w:t>
            </w:r>
            <w:r>
              <w:rPr>
                <w:rFonts w:hint="eastAsia" w:ascii="宋体" w:hAnsi="宋体" w:cs="宋体"/>
                <w:kern w:val="0"/>
              </w:rPr>
              <w:t>当年度群众信访及时办理回复率达100%，未发生超期（</w:t>
            </w:r>
            <w:r>
              <w:rPr>
                <w:rFonts w:ascii="宋体" w:hAnsi="宋体" w:cs="宋体"/>
                <w:kern w:val="0"/>
              </w:rPr>
              <w:t>1</w:t>
            </w:r>
            <w:r>
              <w:rPr>
                <w:rFonts w:hint="eastAsia" w:ascii="宋体" w:hAnsi="宋体" w:cs="宋体"/>
                <w:kern w:val="0"/>
              </w:rPr>
              <w:t>分）。</w:t>
            </w:r>
          </w:p>
        </w:tc>
        <w:tc>
          <w:tcPr>
            <w:tcW w:w="851" w:type="dxa"/>
            <w:tcBorders>
              <w:top w:val="nil"/>
              <w:left w:val="nil"/>
              <w:bottom w:val="single" w:color="auto" w:sz="4" w:space="0"/>
              <w:right w:val="single" w:color="auto" w:sz="4" w:space="0"/>
            </w:tcBorders>
            <w:vAlign w:val="center"/>
          </w:tcPr>
          <w:p w14:paraId="73A0F1BD">
            <w:pPr>
              <w:spacing w:line="320" w:lineRule="exact"/>
              <w:jc w:val="center"/>
              <w:rPr>
                <w:rFonts w:ascii="宋体" w:hAnsi="宋体" w:cs="宋体"/>
                <w:kern w:val="0"/>
              </w:rPr>
            </w:pPr>
            <w:r>
              <w:rPr>
                <w:rFonts w:hint="eastAsia" w:ascii="宋体" w:hAnsi="宋体" w:cs="宋体"/>
                <w:kern w:val="0"/>
              </w:rPr>
              <w:t>3</w:t>
            </w:r>
          </w:p>
        </w:tc>
      </w:tr>
      <w:tr w14:paraId="0ACC1152">
        <w:tblPrEx>
          <w:tblCellMar>
            <w:top w:w="0" w:type="dxa"/>
            <w:left w:w="108" w:type="dxa"/>
            <w:bottom w:w="0" w:type="dxa"/>
            <w:right w:w="108" w:type="dxa"/>
          </w:tblCellMar>
        </w:tblPrEx>
        <w:trPr>
          <w:trHeight w:val="1401" w:hRule="atLeast"/>
        </w:trPr>
        <w:tc>
          <w:tcPr>
            <w:tcW w:w="577" w:type="dxa"/>
            <w:vMerge w:val="continue"/>
            <w:tcBorders>
              <w:top w:val="nil"/>
              <w:left w:val="single" w:color="auto" w:sz="4" w:space="0"/>
              <w:bottom w:val="single" w:color="auto" w:sz="4" w:space="0"/>
              <w:right w:val="single" w:color="auto" w:sz="4" w:space="0"/>
            </w:tcBorders>
            <w:vAlign w:val="center"/>
          </w:tcPr>
          <w:p w14:paraId="050E99F7">
            <w:pPr>
              <w:spacing w:line="320" w:lineRule="exact"/>
              <w:rPr>
                <w:rFonts w:ascii="宋体"/>
                <w:kern w:val="0"/>
              </w:rPr>
            </w:pPr>
          </w:p>
        </w:tc>
        <w:tc>
          <w:tcPr>
            <w:tcW w:w="508" w:type="dxa"/>
            <w:vMerge w:val="continue"/>
            <w:tcBorders>
              <w:top w:val="nil"/>
              <w:left w:val="single" w:color="auto" w:sz="4" w:space="0"/>
              <w:bottom w:val="single" w:color="auto" w:sz="4" w:space="0"/>
              <w:right w:val="single" w:color="auto" w:sz="4" w:space="0"/>
            </w:tcBorders>
            <w:vAlign w:val="center"/>
          </w:tcPr>
          <w:p w14:paraId="1C354DEF">
            <w:pPr>
              <w:spacing w:line="320" w:lineRule="exact"/>
              <w:rPr>
                <w:rFonts w:ascii="宋体"/>
                <w:kern w:val="0"/>
              </w:rPr>
            </w:pPr>
          </w:p>
        </w:tc>
        <w:tc>
          <w:tcPr>
            <w:tcW w:w="547" w:type="dxa"/>
            <w:vMerge w:val="continue"/>
            <w:tcBorders>
              <w:top w:val="nil"/>
              <w:left w:val="single" w:color="auto" w:sz="4" w:space="0"/>
              <w:bottom w:val="single" w:color="auto" w:sz="4" w:space="0"/>
              <w:right w:val="single" w:color="auto" w:sz="4" w:space="0"/>
            </w:tcBorders>
            <w:vAlign w:val="center"/>
          </w:tcPr>
          <w:p w14:paraId="43FB8A53">
            <w:pPr>
              <w:spacing w:line="320" w:lineRule="exact"/>
              <w:rPr>
                <w:rFonts w:ascii="宋体"/>
                <w:kern w:val="0"/>
              </w:rPr>
            </w:pPr>
          </w:p>
        </w:tc>
        <w:tc>
          <w:tcPr>
            <w:tcW w:w="571" w:type="dxa"/>
            <w:vMerge w:val="continue"/>
            <w:tcBorders>
              <w:top w:val="nil"/>
              <w:left w:val="single" w:color="auto" w:sz="4" w:space="0"/>
              <w:bottom w:val="single" w:color="auto" w:sz="4" w:space="0"/>
              <w:right w:val="single" w:color="auto" w:sz="4" w:space="0"/>
            </w:tcBorders>
            <w:vAlign w:val="center"/>
          </w:tcPr>
          <w:p w14:paraId="23F6642A">
            <w:pPr>
              <w:spacing w:line="320" w:lineRule="exact"/>
              <w:rPr>
                <w:rFonts w:ascii="宋体"/>
                <w:kern w:val="0"/>
              </w:rPr>
            </w:pPr>
          </w:p>
        </w:tc>
        <w:tc>
          <w:tcPr>
            <w:tcW w:w="705" w:type="dxa"/>
            <w:tcBorders>
              <w:top w:val="nil"/>
              <w:left w:val="nil"/>
              <w:bottom w:val="single" w:color="auto" w:sz="4" w:space="0"/>
              <w:right w:val="single" w:color="auto" w:sz="4" w:space="0"/>
            </w:tcBorders>
            <w:vAlign w:val="center"/>
          </w:tcPr>
          <w:p w14:paraId="3E6D5E7F">
            <w:pPr>
              <w:spacing w:line="320" w:lineRule="exact"/>
              <w:rPr>
                <w:rFonts w:ascii="宋体"/>
                <w:kern w:val="0"/>
              </w:rPr>
            </w:pPr>
            <w:r>
              <w:rPr>
                <w:rFonts w:hint="eastAsia" w:ascii="宋体" w:hAnsi="宋体" w:cs="宋体"/>
                <w:kern w:val="0"/>
              </w:rPr>
              <w:t>公众或服务对象满意度</w:t>
            </w:r>
          </w:p>
        </w:tc>
        <w:tc>
          <w:tcPr>
            <w:tcW w:w="567" w:type="dxa"/>
            <w:tcBorders>
              <w:top w:val="nil"/>
              <w:left w:val="nil"/>
              <w:bottom w:val="single" w:color="auto" w:sz="4" w:space="0"/>
              <w:right w:val="single" w:color="auto" w:sz="4" w:space="0"/>
            </w:tcBorders>
            <w:vAlign w:val="center"/>
          </w:tcPr>
          <w:p w14:paraId="04CF13AB">
            <w:pPr>
              <w:spacing w:line="320" w:lineRule="exact"/>
              <w:jc w:val="center"/>
              <w:rPr>
                <w:rFonts w:ascii="宋体"/>
                <w:kern w:val="0"/>
              </w:rPr>
            </w:pPr>
            <w:r>
              <w:rPr>
                <w:rFonts w:hint="eastAsia" w:ascii="宋体" w:hAnsi="宋体" w:cs="宋体"/>
                <w:kern w:val="0"/>
              </w:rPr>
              <w:t>6</w:t>
            </w:r>
          </w:p>
        </w:tc>
        <w:tc>
          <w:tcPr>
            <w:tcW w:w="2551" w:type="dxa"/>
            <w:tcBorders>
              <w:top w:val="nil"/>
              <w:left w:val="nil"/>
              <w:bottom w:val="single" w:color="auto" w:sz="4" w:space="0"/>
              <w:right w:val="single" w:color="auto" w:sz="4" w:space="0"/>
            </w:tcBorders>
            <w:vAlign w:val="center"/>
          </w:tcPr>
          <w:p w14:paraId="17323F52">
            <w:pPr>
              <w:spacing w:line="320" w:lineRule="exact"/>
              <w:rPr>
                <w:rFonts w:ascii="宋体"/>
                <w:kern w:val="0"/>
              </w:rPr>
            </w:pPr>
            <w:r>
              <w:rPr>
                <w:rFonts w:hint="eastAsia" w:ascii="宋体" w:hAnsi="宋体" w:cs="宋体"/>
                <w:kern w:val="0"/>
              </w:rPr>
              <w:t>反映社会公众或部门（单位）的服务对象对部门履职效果的满意度。</w:t>
            </w:r>
          </w:p>
        </w:tc>
        <w:tc>
          <w:tcPr>
            <w:tcW w:w="7371" w:type="dxa"/>
            <w:tcBorders>
              <w:top w:val="single" w:color="auto" w:sz="4" w:space="0"/>
              <w:left w:val="nil"/>
              <w:bottom w:val="single" w:color="auto" w:sz="4" w:space="0"/>
              <w:right w:val="single" w:color="auto" w:sz="4" w:space="0"/>
            </w:tcBorders>
            <w:vAlign w:val="center"/>
          </w:tcPr>
          <w:p w14:paraId="7DB3E91A">
            <w:pPr>
              <w:spacing w:line="300" w:lineRule="exact"/>
              <w:ind w:firstLine="420" w:firstLineChars="200"/>
              <w:rPr>
                <w:rFonts w:ascii="宋体" w:hAnsi="宋体" w:cs="宋体"/>
                <w:kern w:val="0"/>
              </w:rPr>
            </w:pPr>
            <w:r>
              <w:rPr>
                <w:rFonts w:hint="eastAsia" w:ascii="宋体" w:hAnsi="宋体" w:cs="宋体"/>
                <w:kern w:val="0"/>
              </w:rPr>
              <w:t>社会公众或服务对象是指部门（单位）履行职责而影响到的部门、群体或个人，一般采取社会调查的方式。如难以单独开展满意度调查的，可参考区统计部门的数据、年度区直民主评议政风行风评价结果等数据，或者参考群众信访反馈的普遍性问题、我局或权威第三方机构的开展满意度调查等进行分档计分。</w:t>
            </w:r>
          </w:p>
          <w:p w14:paraId="7A02931C">
            <w:pPr>
              <w:spacing w:line="300" w:lineRule="exact"/>
              <w:ind w:firstLine="420" w:firstLineChars="200"/>
              <w:rPr>
                <w:rFonts w:ascii="宋体" w:hAnsi="宋体" w:cs="宋体"/>
                <w:kern w:val="0"/>
              </w:rPr>
            </w:pPr>
            <w:r>
              <w:rPr>
                <w:rFonts w:hint="eastAsia" w:ascii="宋体" w:hAnsi="宋体" w:cs="宋体"/>
                <w:kern w:val="0"/>
              </w:rPr>
              <w:t>1.满意度≥95%的，得6分；</w:t>
            </w:r>
          </w:p>
          <w:p w14:paraId="4FD2A55D">
            <w:pPr>
              <w:spacing w:line="300" w:lineRule="exact"/>
              <w:ind w:firstLine="420" w:firstLineChars="200"/>
              <w:rPr>
                <w:rFonts w:ascii="宋体" w:hAnsi="宋体" w:cs="宋体"/>
                <w:kern w:val="0"/>
              </w:rPr>
            </w:pPr>
            <w:r>
              <w:rPr>
                <w:rFonts w:hint="eastAsia" w:ascii="宋体" w:hAnsi="宋体" w:cs="宋体"/>
                <w:kern w:val="0"/>
              </w:rPr>
              <w:t>2. 90%≤满意度＜95%的，得4分；</w:t>
            </w:r>
          </w:p>
          <w:p w14:paraId="5F1EB4EE">
            <w:pPr>
              <w:spacing w:line="300" w:lineRule="exact"/>
              <w:ind w:firstLine="420" w:firstLineChars="200"/>
              <w:rPr>
                <w:rFonts w:ascii="宋体" w:hAnsi="宋体" w:cs="宋体"/>
                <w:kern w:val="0"/>
              </w:rPr>
            </w:pPr>
            <w:r>
              <w:rPr>
                <w:rFonts w:hint="eastAsia" w:ascii="宋体" w:hAnsi="宋体" w:cs="宋体"/>
                <w:kern w:val="0"/>
              </w:rPr>
              <w:t>3. 80%≤满意度＜90%的，得2分；</w:t>
            </w:r>
          </w:p>
          <w:p w14:paraId="380FE7A0">
            <w:pPr>
              <w:spacing w:line="300" w:lineRule="exact"/>
              <w:ind w:firstLine="420" w:firstLineChars="200"/>
              <w:rPr>
                <w:rFonts w:ascii="宋体"/>
                <w:kern w:val="0"/>
              </w:rPr>
            </w:pPr>
            <w:r>
              <w:rPr>
                <w:rFonts w:hint="eastAsia" w:ascii="宋体" w:hAnsi="宋体" w:cs="宋体"/>
                <w:kern w:val="0"/>
              </w:rPr>
              <w:t>4. 满意度＜80%的，得1分。</w:t>
            </w:r>
          </w:p>
        </w:tc>
        <w:tc>
          <w:tcPr>
            <w:tcW w:w="851" w:type="dxa"/>
            <w:tcBorders>
              <w:top w:val="nil"/>
              <w:left w:val="nil"/>
              <w:bottom w:val="single" w:color="auto" w:sz="4" w:space="0"/>
              <w:right w:val="single" w:color="auto" w:sz="4" w:space="0"/>
            </w:tcBorders>
            <w:vAlign w:val="center"/>
          </w:tcPr>
          <w:p w14:paraId="5535C4CF">
            <w:pPr>
              <w:spacing w:line="320" w:lineRule="exact"/>
              <w:jc w:val="center"/>
              <w:rPr>
                <w:rFonts w:ascii="宋体" w:hAnsi="宋体" w:cs="宋体"/>
                <w:kern w:val="0"/>
              </w:rPr>
            </w:pPr>
            <w:r>
              <w:rPr>
                <w:rFonts w:hint="eastAsia" w:ascii="宋体" w:hAnsi="宋体" w:cs="宋体"/>
                <w:kern w:val="0"/>
              </w:rPr>
              <w:t>6</w:t>
            </w:r>
          </w:p>
        </w:tc>
      </w:tr>
      <w:tr w14:paraId="586C3621">
        <w:tblPrEx>
          <w:tblCellMar>
            <w:top w:w="0" w:type="dxa"/>
            <w:left w:w="108" w:type="dxa"/>
            <w:bottom w:w="0" w:type="dxa"/>
            <w:right w:w="108" w:type="dxa"/>
          </w:tblCellMar>
        </w:tblPrEx>
        <w:trPr>
          <w:trHeight w:val="572" w:hRule="atLeast"/>
        </w:trPr>
        <w:tc>
          <w:tcPr>
            <w:tcW w:w="13397" w:type="dxa"/>
            <w:gridSpan w:val="8"/>
            <w:tcBorders>
              <w:top w:val="single" w:color="auto" w:sz="4" w:space="0"/>
              <w:left w:val="single" w:color="auto" w:sz="4" w:space="0"/>
              <w:bottom w:val="single" w:color="auto" w:sz="4" w:space="0"/>
              <w:right w:val="single" w:color="auto" w:sz="4" w:space="0"/>
            </w:tcBorders>
            <w:vAlign w:val="center"/>
          </w:tcPr>
          <w:p w14:paraId="51C11B47">
            <w:pPr>
              <w:spacing w:line="300" w:lineRule="exact"/>
              <w:jc w:val="center"/>
              <w:rPr>
                <w:rFonts w:ascii="宋体" w:hAnsi="宋体" w:cs="宋体"/>
                <w:kern w:val="0"/>
              </w:rPr>
            </w:pPr>
            <w:r>
              <w:rPr>
                <w:rFonts w:hint="eastAsia" w:ascii="宋体" w:hAnsi="宋体" w:cs="宋体"/>
                <w:b/>
                <w:bCs/>
                <w:kern w:val="0"/>
              </w:rPr>
              <w:t>总得分情况</w:t>
            </w:r>
          </w:p>
        </w:tc>
        <w:tc>
          <w:tcPr>
            <w:tcW w:w="851" w:type="dxa"/>
            <w:tcBorders>
              <w:top w:val="single" w:color="auto" w:sz="4" w:space="0"/>
              <w:left w:val="nil"/>
              <w:bottom w:val="single" w:color="auto" w:sz="4" w:space="0"/>
              <w:right w:val="single" w:color="auto" w:sz="4" w:space="0"/>
            </w:tcBorders>
            <w:vAlign w:val="center"/>
          </w:tcPr>
          <w:p w14:paraId="78405E3D">
            <w:pPr>
              <w:spacing w:line="320" w:lineRule="exact"/>
              <w:rPr>
                <w:rFonts w:ascii="宋体" w:hAnsi="宋体" w:cs="宋体"/>
                <w:kern w:val="0"/>
              </w:rPr>
            </w:pPr>
            <w:r>
              <w:rPr>
                <w:rFonts w:hint="eastAsia" w:ascii="宋体" w:hAnsi="宋体" w:cs="宋体"/>
                <w:kern w:val="0"/>
              </w:rPr>
              <w:t>94.94</w:t>
            </w:r>
          </w:p>
        </w:tc>
      </w:tr>
    </w:tbl>
    <w:p w14:paraId="4A658673"/>
    <w:p w14:paraId="33E3CA49"/>
    <w:sectPr>
      <w:pgSz w:w="16839" w:h="11907" w:orient="landscape"/>
      <w:pgMar w:top="1134" w:right="1440" w:bottom="851"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仿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6EDF85"/>
    <w:multiLevelType w:val="singleLevel"/>
    <w:tmpl w:val="CD6EDF85"/>
    <w:lvl w:ilvl="0" w:tentative="0">
      <w:start w:val="1"/>
      <w:numFmt w:val="decimal"/>
      <w:suff w:val="nothing"/>
      <w:lvlText w:val="%1、"/>
      <w:lvlJc w:val="left"/>
      <w:pPr>
        <w:ind w:left="-220"/>
      </w:pPr>
    </w:lvl>
  </w:abstractNum>
  <w:abstractNum w:abstractNumId="1">
    <w:nsid w:val="40F05FDC"/>
    <w:multiLevelType w:val="singleLevel"/>
    <w:tmpl w:val="40F05FDC"/>
    <w:lvl w:ilvl="0" w:tentative="0">
      <w:start w:val="4"/>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iYzRjZDg4ODIxMmZkMzVjYzYxNzIzMDEwYjJjY2IifQ=="/>
  </w:docVars>
  <w:rsids>
    <w:rsidRoot w:val="00172A27"/>
    <w:rsid w:val="00015287"/>
    <w:rsid w:val="000757DF"/>
    <w:rsid w:val="000C1693"/>
    <w:rsid w:val="000C7F39"/>
    <w:rsid w:val="000D5ECC"/>
    <w:rsid w:val="001071E8"/>
    <w:rsid w:val="00156F7B"/>
    <w:rsid w:val="00172A27"/>
    <w:rsid w:val="00186083"/>
    <w:rsid w:val="001A4FCA"/>
    <w:rsid w:val="001C3269"/>
    <w:rsid w:val="001E1A5E"/>
    <w:rsid w:val="001E702E"/>
    <w:rsid w:val="001F5AA4"/>
    <w:rsid w:val="00201F4A"/>
    <w:rsid w:val="00235966"/>
    <w:rsid w:val="002A7700"/>
    <w:rsid w:val="002E0FBC"/>
    <w:rsid w:val="00323B8D"/>
    <w:rsid w:val="003338E5"/>
    <w:rsid w:val="003577C2"/>
    <w:rsid w:val="00382649"/>
    <w:rsid w:val="0039065E"/>
    <w:rsid w:val="00394B68"/>
    <w:rsid w:val="003B1900"/>
    <w:rsid w:val="003D5362"/>
    <w:rsid w:val="003F3BCB"/>
    <w:rsid w:val="00447BDD"/>
    <w:rsid w:val="004A3245"/>
    <w:rsid w:val="004B47F6"/>
    <w:rsid w:val="00540425"/>
    <w:rsid w:val="005558E8"/>
    <w:rsid w:val="00567E10"/>
    <w:rsid w:val="00567EEA"/>
    <w:rsid w:val="0058344B"/>
    <w:rsid w:val="005A7B7C"/>
    <w:rsid w:val="005C793D"/>
    <w:rsid w:val="005D6FD8"/>
    <w:rsid w:val="006020C4"/>
    <w:rsid w:val="006668F7"/>
    <w:rsid w:val="00670E00"/>
    <w:rsid w:val="006A08E5"/>
    <w:rsid w:val="006A0B18"/>
    <w:rsid w:val="006A2502"/>
    <w:rsid w:val="006A6BCF"/>
    <w:rsid w:val="006E2C6E"/>
    <w:rsid w:val="006F0724"/>
    <w:rsid w:val="007206D6"/>
    <w:rsid w:val="00740303"/>
    <w:rsid w:val="00782DA0"/>
    <w:rsid w:val="007965BE"/>
    <w:rsid w:val="007979E7"/>
    <w:rsid w:val="007B1093"/>
    <w:rsid w:val="007C6A8D"/>
    <w:rsid w:val="007C77C0"/>
    <w:rsid w:val="007E03B1"/>
    <w:rsid w:val="007E16C0"/>
    <w:rsid w:val="007F11FC"/>
    <w:rsid w:val="0082684A"/>
    <w:rsid w:val="00826ECE"/>
    <w:rsid w:val="0085384E"/>
    <w:rsid w:val="00866D4F"/>
    <w:rsid w:val="00886EBB"/>
    <w:rsid w:val="008C01DD"/>
    <w:rsid w:val="008C5E9F"/>
    <w:rsid w:val="008D3C34"/>
    <w:rsid w:val="00907B9F"/>
    <w:rsid w:val="009254A3"/>
    <w:rsid w:val="009374E9"/>
    <w:rsid w:val="0094704A"/>
    <w:rsid w:val="009803FA"/>
    <w:rsid w:val="009B6BB4"/>
    <w:rsid w:val="009C4DEE"/>
    <w:rsid w:val="009C5268"/>
    <w:rsid w:val="009D5601"/>
    <w:rsid w:val="009F2ABC"/>
    <w:rsid w:val="00A327AA"/>
    <w:rsid w:val="00A458AB"/>
    <w:rsid w:val="00A50CCC"/>
    <w:rsid w:val="00A671C9"/>
    <w:rsid w:val="00AA2E1E"/>
    <w:rsid w:val="00AA5338"/>
    <w:rsid w:val="00AC140F"/>
    <w:rsid w:val="00AD197F"/>
    <w:rsid w:val="00AD4C3B"/>
    <w:rsid w:val="00AD7537"/>
    <w:rsid w:val="00AE5669"/>
    <w:rsid w:val="00B012E2"/>
    <w:rsid w:val="00B04AB3"/>
    <w:rsid w:val="00B16374"/>
    <w:rsid w:val="00B9050E"/>
    <w:rsid w:val="00BB7A05"/>
    <w:rsid w:val="00BD192D"/>
    <w:rsid w:val="00BD62D1"/>
    <w:rsid w:val="00BF495A"/>
    <w:rsid w:val="00C21522"/>
    <w:rsid w:val="00C2157C"/>
    <w:rsid w:val="00C409C6"/>
    <w:rsid w:val="00C702B8"/>
    <w:rsid w:val="00C95E73"/>
    <w:rsid w:val="00CB6C81"/>
    <w:rsid w:val="00CB7FE9"/>
    <w:rsid w:val="00CC0E1B"/>
    <w:rsid w:val="00CC66F3"/>
    <w:rsid w:val="00CC7C71"/>
    <w:rsid w:val="00CD69A4"/>
    <w:rsid w:val="00CF058B"/>
    <w:rsid w:val="00D50E3A"/>
    <w:rsid w:val="00D86FE6"/>
    <w:rsid w:val="00DC002F"/>
    <w:rsid w:val="00DD1293"/>
    <w:rsid w:val="00E61598"/>
    <w:rsid w:val="00E71C7C"/>
    <w:rsid w:val="00E975EF"/>
    <w:rsid w:val="00F05CC5"/>
    <w:rsid w:val="00F85BCF"/>
    <w:rsid w:val="00FA665A"/>
    <w:rsid w:val="04EF7114"/>
    <w:rsid w:val="0B0E30C9"/>
    <w:rsid w:val="10BD281A"/>
    <w:rsid w:val="12B44556"/>
    <w:rsid w:val="14740823"/>
    <w:rsid w:val="14E42223"/>
    <w:rsid w:val="152D64AE"/>
    <w:rsid w:val="163530EF"/>
    <w:rsid w:val="19FE29FD"/>
    <w:rsid w:val="1C4A7B67"/>
    <w:rsid w:val="1CCE4466"/>
    <w:rsid w:val="1EF01BF8"/>
    <w:rsid w:val="1F070ACE"/>
    <w:rsid w:val="26C83D4C"/>
    <w:rsid w:val="27312FA1"/>
    <w:rsid w:val="29DA269C"/>
    <w:rsid w:val="2B177920"/>
    <w:rsid w:val="320712B6"/>
    <w:rsid w:val="3DDA397C"/>
    <w:rsid w:val="414F176A"/>
    <w:rsid w:val="47C84199"/>
    <w:rsid w:val="490A1488"/>
    <w:rsid w:val="4D0940DA"/>
    <w:rsid w:val="52AA1017"/>
    <w:rsid w:val="534A15D0"/>
    <w:rsid w:val="538D21C9"/>
    <w:rsid w:val="577A2982"/>
    <w:rsid w:val="57BA57DE"/>
    <w:rsid w:val="59C36018"/>
    <w:rsid w:val="5C4E27F6"/>
    <w:rsid w:val="5E762F5D"/>
    <w:rsid w:val="5EAD0973"/>
    <w:rsid w:val="617C4076"/>
    <w:rsid w:val="63620A31"/>
    <w:rsid w:val="63731059"/>
    <w:rsid w:val="676D753A"/>
    <w:rsid w:val="6A5C61DA"/>
    <w:rsid w:val="6A771266"/>
    <w:rsid w:val="6A8B5E4B"/>
    <w:rsid w:val="76452E59"/>
    <w:rsid w:val="7912724C"/>
    <w:rsid w:val="79254583"/>
    <w:rsid w:val="798620DE"/>
    <w:rsid w:val="BFBFDD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400" w:after="400" w:line="560" w:lineRule="exact"/>
      <w:jc w:val="left"/>
      <w:outlineLvl w:val="0"/>
    </w:pPr>
    <w:rPr>
      <w:rFonts w:ascii="黑体" w:hAnsi="黑体" w:eastAsia="黑体"/>
      <w:bCs/>
      <w:kern w:val="44"/>
      <w:szCs w:val="44"/>
    </w:rPr>
  </w:style>
  <w:style w:type="paragraph" w:styleId="4">
    <w:name w:val="heading 4"/>
    <w:basedOn w:val="1"/>
    <w:next w:val="1"/>
    <w:qFormat/>
    <w:uiPriority w:val="99"/>
    <w:pPr>
      <w:keepNext/>
      <w:keepLines/>
      <w:spacing w:before="280" w:after="290" w:line="376" w:lineRule="auto"/>
      <w:outlineLvl w:val="3"/>
    </w:pPr>
    <w:rPr>
      <w:rFonts w:ascii="Cambria" w:hAnsi="Cambria" w:cs="Cambria"/>
      <w:b/>
      <w:bCs/>
      <w:sz w:val="28"/>
      <w:szCs w:val="28"/>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Indent 2"/>
    <w:basedOn w:val="1"/>
    <w:qFormat/>
    <w:uiPriority w:val="0"/>
    <w:pPr>
      <w:spacing w:line="590" w:lineRule="exact"/>
      <w:ind w:firstLine="880" w:firstLineChars="200"/>
    </w:pPr>
    <w:rPr>
      <w:rFonts w:eastAsia="方正仿宋_GBK"/>
      <w:sz w:val="32"/>
      <w:szCs w:val="32"/>
    </w:rPr>
  </w:style>
  <w:style w:type="paragraph" w:styleId="5">
    <w:name w:val="Body Text"/>
    <w:basedOn w:val="1"/>
    <w:next w:val="1"/>
    <w:qFormat/>
    <w:uiPriority w:val="0"/>
    <w:pPr>
      <w:spacing w:after="120"/>
    </w:pPr>
    <w:rPr>
      <w:rFonts w:ascii="Calibri" w:hAnsi="Calibri"/>
      <w:szCs w:val="22"/>
    </w:rPr>
  </w:style>
  <w:style w:type="paragraph" w:styleId="6">
    <w:name w:val="Balloon Text"/>
    <w:basedOn w:val="1"/>
    <w:link w:val="13"/>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customStyle="1" w:styleId="13">
    <w:name w:val="批注框文本 字符"/>
    <w:basedOn w:val="11"/>
    <w:link w:val="6"/>
    <w:semiHidden/>
    <w:qFormat/>
    <w:uiPriority w:val="99"/>
    <w:rPr>
      <w:rFonts w:ascii="Times New Roman" w:hAnsi="Times New Roman" w:eastAsia="宋体" w:cs="Times New Roman"/>
      <w:sz w:val="18"/>
      <w:szCs w:val="18"/>
    </w:rPr>
  </w:style>
  <w:style w:type="character" w:customStyle="1" w:styleId="14">
    <w:name w:val="页眉 字符"/>
    <w:basedOn w:val="11"/>
    <w:link w:val="8"/>
    <w:semiHidden/>
    <w:qFormat/>
    <w:uiPriority w:val="99"/>
    <w:rPr>
      <w:rFonts w:ascii="Times New Roman" w:hAnsi="Times New Roman" w:eastAsia="宋体" w:cs="Times New Roman"/>
      <w:sz w:val="18"/>
      <w:szCs w:val="18"/>
    </w:rPr>
  </w:style>
  <w:style w:type="character" w:customStyle="1" w:styleId="15">
    <w:name w:val="页脚 字符"/>
    <w:basedOn w:val="11"/>
    <w:link w:val="7"/>
    <w:semiHidden/>
    <w:qFormat/>
    <w:uiPriority w:val="99"/>
    <w:rPr>
      <w:rFonts w:ascii="Times New Roman" w:hAnsi="Times New Roman" w:eastAsia="宋体" w:cs="Times New Roman"/>
      <w:sz w:val="18"/>
      <w:szCs w:val="18"/>
    </w:rPr>
  </w:style>
  <w:style w:type="character" w:customStyle="1" w:styleId="16">
    <w:name w:val="NormalCharacter"/>
    <w:qFormat/>
    <w:uiPriority w:val="0"/>
  </w:style>
</w:styles>
</file>

<file path=word/_rels/document.xml.rels><?xml version="1.0" encoding="UTF-8" standalone="yes"?>
<Relationships xmlns="http://schemas.openxmlformats.org/package/2006/relationships"><Relationship Id="rId8" Type="http://schemas.microsoft.com/office/2011/relationships/people" Target="people.xml"/><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14621</Words>
  <Characters>15789</Characters>
  <Lines>122</Lines>
  <Paragraphs>34</Paragraphs>
  <TotalTime>22</TotalTime>
  <ScaleCrop>false</ScaleCrop>
  <LinksUpToDate>false</LinksUpToDate>
  <CharactersWithSpaces>15915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2019-03-07T11:34:00Z</dcterms:created>
  <dc:creator>桂鑫</dc:creator>
  <cp:lastModifiedBy>李昊毅</cp:lastModifiedBy>
  <dcterms:modified xsi:type="dcterms:W3CDTF">2025-08-14T09:58:17Z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6FCD91436F8045E6B554FA3EBC94DA49</vt:lpwstr>
  </property>
  <property fmtid="{D5CDD505-2E9C-101B-9397-08002B2CF9AE}" pid="4" name="KSOTemplateDocerSaveRecord">
    <vt:lpwstr>eyJoZGlkIjoiOGJmMWM2ZjNjZDhlZTdhMDIyNjQ5NDczNjMyY2U5NWMiLCJ1c2VySWQiOiI2MDEyNTQzNTIifQ==</vt:lpwstr>
  </property>
</Properties>
</file>