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分项报价清单表</w:t>
      </w: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tbl>
      <w:tblPr>
        <w:tblStyle w:val="6"/>
        <w:tblW w:w="935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200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服务事项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福田区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2024年度文化体育产业专项资金和体育彩票公益金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重点绩效评价辅助服务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供应商名称(盖公章):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</w:t>
      </w: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备注：</w:t>
      </w:r>
    </w:p>
    <w:p>
      <w:pPr>
        <w:adjustRightInd w:val="0"/>
        <w:spacing w:line="3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1.所有价格的货币单位为“元”；</w:t>
      </w: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2.投标总价应为以上各分项价格之和；</w:t>
      </w:r>
    </w:p>
    <w:p>
      <w:pPr>
        <w:adjustRightInd w:val="0"/>
        <w:spacing w:line="3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3.本表格式可根据项目具体情况进行修改。</w:t>
      </w: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F55273C"/>
    <w:rsid w:val="1FDD79A8"/>
    <w:rsid w:val="2DC5703D"/>
    <w:rsid w:val="2DFB815A"/>
    <w:rsid w:val="37FDC457"/>
    <w:rsid w:val="3AF7DC7D"/>
    <w:rsid w:val="3BAD2605"/>
    <w:rsid w:val="3CFE6200"/>
    <w:rsid w:val="3F4F4BBD"/>
    <w:rsid w:val="49B7377E"/>
    <w:rsid w:val="4E9D5AE3"/>
    <w:rsid w:val="4FFE2B85"/>
    <w:rsid w:val="57FEFDA2"/>
    <w:rsid w:val="67B1ACCF"/>
    <w:rsid w:val="6B9FFD51"/>
    <w:rsid w:val="6C7DDB83"/>
    <w:rsid w:val="6FDBD849"/>
    <w:rsid w:val="6FF77EEA"/>
    <w:rsid w:val="75BE034F"/>
    <w:rsid w:val="77BD7F71"/>
    <w:rsid w:val="79A9F555"/>
    <w:rsid w:val="7AF46424"/>
    <w:rsid w:val="7BBFF333"/>
    <w:rsid w:val="7DEF0C19"/>
    <w:rsid w:val="7DEFC4B9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EFE1ED6"/>
    <w:rsid w:val="BAFF136F"/>
    <w:rsid w:val="BDF70276"/>
    <w:rsid w:val="BE6B8DB1"/>
    <w:rsid w:val="BF175B2E"/>
    <w:rsid w:val="CFCFFBCE"/>
    <w:rsid w:val="D6FDF2AE"/>
    <w:rsid w:val="D735D9E0"/>
    <w:rsid w:val="DB657DE8"/>
    <w:rsid w:val="DF3E4B9C"/>
    <w:rsid w:val="DFF72FEA"/>
    <w:rsid w:val="EDF7D9CD"/>
    <w:rsid w:val="EE7F980C"/>
    <w:rsid w:val="F2AEDA54"/>
    <w:rsid w:val="F5D7635A"/>
    <w:rsid w:val="F7CF329A"/>
    <w:rsid w:val="FBCE839C"/>
    <w:rsid w:val="FDBF4B0E"/>
    <w:rsid w:val="FFB880A4"/>
    <w:rsid w:val="FFBFA42C"/>
    <w:rsid w:val="FFD349D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EF67C1187EAE166BC705B968F778B04B</vt:lpwstr>
  </property>
</Properties>
</file>