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497"/>
        </w:tabs>
        <w:spacing w:beforeAutospacing="1" w:after="100" w:afterLines="50" w:afterAutospacing="1" w:line="600" w:lineRule="exact"/>
        <w:jc w:val="both"/>
        <w:rPr>
          <w:rFonts w:hint="default"/>
          <w:sz w:val="28"/>
          <w:szCs w:val="28"/>
          <w:lang w:val="en-US" w:eastAsia="zh-CN"/>
        </w:rPr>
      </w:pPr>
      <w:r>
        <w:rPr>
          <w:rFonts w:hint="eastAsia" w:ascii="方正小标宋_GBK" w:hAnsi="方正小标宋_GBK" w:eastAsia="方正小标宋_GBK" w:cs="方正小标宋_GBK"/>
          <w:bCs/>
          <w:kern w:val="0"/>
          <w:sz w:val="28"/>
          <w:szCs w:val="28"/>
          <w:lang w:val="en-US" w:eastAsia="zh-CN" w:bidi="ar-SA"/>
        </w:rPr>
        <w:t>附件4</w:t>
      </w:r>
    </w:p>
    <w:p>
      <w:pPr>
        <w:spacing w:line="440" w:lineRule="exact"/>
        <w:jc w:val="center"/>
        <w:rPr>
          <w:rFonts w:hint="eastAsia" w:ascii="方正小标宋_GBK" w:hAnsi="方正小标宋_GBK" w:eastAsia="方正小标宋_GBK" w:cs="方正小标宋_GBK"/>
          <w:bCs/>
          <w:kern w:val="0"/>
          <w:sz w:val="44"/>
          <w:szCs w:val="44"/>
          <w:lang w:val="en-US" w:eastAsia="zh-CN" w:bidi="ar-SA"/>
        </w:rPr>
      </w:pPr>
      <w:r>
        <w:rPr>
          <w:rFonts w:hint="eastAsia" w:ascii="方正小标宋_GBK" w:hAnsi="方正小标宋_GBK" w:eastAsia="方正小标宋_GBK" w:cs="方正小标宋_GBK"/>
          <w:bCs/>
          <w:kern w:val="0"/>
          <w:sz w:val="44"/>
          <w:szCs w:val="44"/>
          <w:lang w:val="en-US" w:eastAsia="zh-CN" w:bidi="ar-SA"/>
        </w:rPr>
        <w:t>项目评标信息</w:t>
      </w:r>
    </w:p>
    <w:p>
      <w:pPr>
        <w:spacing w:line="440" w:lineRule="exact"/>
        <w:ind w:firstLine="880" w:firstLineChars="200"/>
        <w:rPr>
          <w:rFonts w:hint="eastAsia" w:ascii="方正小标宋_GBK" w:hAnsi="方正小标宋_GBK" w:eastAsia="方正小标宋_GBK" w:cs="方正小标宋_GBK"/>
          <w:bCs/>
          <w:kern w:val="0"/>
          <w:sz w:val="44"/>
          <w:szCs w:val="44"/>
          <w:lang w:val="en-US" w:eastAsia="zh-CN" w:bidi="ar-SA"/>
        </w:rPr>
      </w:pPr>
    </w:p>
    <w:p>
      <w:pPr>
        <w:spacing w:line="440" w:lineRule="exact"/>
        <w:ind w:firstLine="560" w:firstLineChars="200"/>
        <w:rPr>
          <w:rFonts w:hint="eastAsia"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本项目采用综合评分法进行评审。采购单位根据《符合性检查表》的内容和标准，对所有通过资格性核查的投标文件进行审查。只有逐条通过《符合性检查表》各项检查的投标方能进入下一阶段的评分（评分标准详见《评分表》）。</w:t>
      </w:r>
    </w:p>
    <w:p>
      <w:pPr>
        <w:pStyle w:val="4"/>
        <w:ind w:left="0" w:leftChars="0" w:firstLine="0" w:firstLineChars="0"/>
        <w:rPr>
          <w:rFonts w:hint="eastAsia"/>
          <w:lang w:val="en-US" w:eastAsia="zh-CN"/>
        </w:rPr>
      </w:pPr>
    </w:p>
    <w:p>
      <w:pPr>
        <w:spacing w:line="440" w:lineRule="exact"/>
        <w:jc w:val="center"/>
        <w:rPr>
          <w:rFonts w:hint="default" w:ascii="仿宋_GB2312" w:hAnsi="仿宋_GB2312" w:eastAsia="仿宋_GB2312" w:cs="仿宋_GB2312"/>
          <w:b/>
          <w:bCs/>
          <w:i w:val="0"/>
          <w:caps w:val="0"/>
          <w:color w:val="000000"/>
          <w:spacing w:val="0"/>
          <w:kern w:val="0"/>
          <w:sz w:val="28"/>
          <w:szCs w:val="28"/>
          <w:lang w:val="en-US" w:eastAsia="zh-CN" w:bidi="ar"/>
        </w:rPr>
      </w:pPr>
      <w:r>
        <w:rPr>
          <w:rFonts w:hint="eastAsia" w:ascii="仿宋_GB2312" w:hAnsi="仿宋_GB2312" w:eastAsia="仿宋_GB2312" w:cs="仿宋_GB2312"/>
          <w:b/>
          <w:bCs/>
          <w:i w:val="0"/>
          <w:caps w:val="0"/>
          <w:color w:val="000000"/>
          <w:spacing w:val="0"/>
          <w:kern w:val="0"/>
          <w:sz w:val="28"/>
          <w:szCs w:val="28"/>
          <w:lang w:val="en-US" w:eastAsia="zh-CN" w:bidi="ar"/>
        </w:rPr>
        <w:t>1.</w:t>
      </w:r>
      <w:r>
        <w:rPr>
          <w:rFonts w:hint="default" w:ascii="仿宋_GB2312" w:hAnsi="仿宋_GB2312" w:eastAsia="仿宋_GB2312" w:cs="仿宋_GB2312"/>
          <w:b/>
          <w:bCs/>
          <w:i w:val="0"/>
          <w:caps w:val="0"/>
          <w:color w:val="000000"/>
          <w:spacing w:val="0"/>
          <w:kern w:val="0"/>
          <w:sz w:val="28"/>
          <w:szCs w:val="28"/>
          <w:lang w:val="en-US" w:eastAsia="zh-CN" w:bidi="ar"/>
        </w:rPr>
        <w:t>符合性检查表</w:t>
      </w:r>
    </w:p>
    <w:tbl>
      <w:tblPr>
        <w:tblStyle w:val="1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660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9" w:type="dxa"/>
            <w:vAlign w:val="center"/>
          </w:tcPr>
          <w:p>
            <w:pPr>
              <w:spacing w:line="440" w:lineRule="exact"/>
              <w:jc w:val="center"/>
              <w:rPr>
                <w:rFonts w:hint="default" w:ascii="仿宋_GB2312" w:hAnsi="仿宋_GB2312" w:eastAsia="仿宋_GB2312" w:cs="仿宋_GB2312"/>
                <w:b/>
                <w:bCs/>
                <w:i w:val="0"/>
                <w:caps w:val="0"/>
                <w:color w:val="000000"/>
                <w:spacing w:val="0"/>
                <w:kern w:val="0"/>
                <w:sz w:val="28"/>
                <w:szCs w:val="28"/>
                <w:lang w:val="en-US" w:eastAsia="zh-CN" w:bidi="ar"/>
              </w:rPr>
            </w:pPr>
            <w:r>
              <w:rPr>
                <w:rFonts w:hint="default" w:ascii="仿宋_GB2312" w:hAnsi="仿宋_GB2312" w:eastAsia="仿宋_GB2312" w:cs="仿宋_GB2312"/>
                <w:b/>
                <w:bCs/>
                <w:i w:val="0"/>
                <w:caps w:val="0"/>
                <w:color w:val="000000"/>
                <w:spacing w:val="0"/>
                <w:kern w:val="0"/>
                <w:sz w:val="28"/>
                <w:szCs w:val="28"/>
                <w:lang w:val="en-US" w:eastAsia="zh-CN" w:bidi="ar"/>
              </w:rPr>
              <w:t>序号</w:t>
            </w:r>
          </w:p>
        </w:tc>
        <w:tc>
          <w:tcPr>
            <w:tcW w:w="6600" w:type="dxa"/>
            <w:vAlign w:val="center"/>
          </w:tcPr>
          <w:p>
            <w:pPr>
              <w:spacing w:line="440" w:lineRule="exact"/>
              <w:ind w:left="-828" w:firstLine="828"/>
              <w:jc w:val="center"/>
              <w:rPr>
                <w:rFonts w:hint="default" w:ascii="仿宋_GB2312" w:hAnsi="仿宋_GB2312" w:eastAsia="仿宋_GB2312" w:cs="仿宋_GB2312"/>
                <w:b/>
                <w:bCs/>
                <w:i w:val="0"/>
                <w:caps w:val="0"/>
                <w:color w:val="000000"/>
                <w:spacing w:val="0"/>
                <w:kern w:val="0"/>
                <w:sz w:val="28"/>
                <w:szCs w:val="28"/>
                <w:lang w:val="en-US" w:eastAsia="zh-CN" w:bidi="ar"/>
              </w:rPr>
            </w:pPr>
            <w:r>
              <w:rPr>
                <w:rFonts w:hint="default" w:ascii="仿宋_GB2312" w:hAnsi="仿宋_GB2312" w:eastAsia="仿宋_GB2312" w:cs="仿宋_GB2312"/>
                <w:b/>
                <w:bCs/>
                <w:i w:val="0"/>
                <w:caps w:val="0"/>
                <w:color w:val="000000"/>
                <w:spacing w:val="0"/>
                <w:kern w:val="0"/>
                <w:sz w:val="28"/>
                <w:szCs w:val="28"/>
                <w:lang w:val="en-US" w:eastAsia="zh-CN" w:bidi="ar"/>
              </w:rPr>
              <w:t>评议内容</w:t>
            </w:r>
          </w:p>
        </w:tc>
        <w:tc>
          <w:tcPr>
            <w:tcW w:w="1766" w:type="dxa"/>
            <w:vAlign w:val="center"/>
          </w:tcPr>
          <w:p>
            <w:pPr>
              <w:spacing w:line="440" w:lineRule="exact"/>
              <w:ind w:left="44" w:hanging="44"/>
              <w:jc w:val="center"/>
              <w:rPr>
                <w:rFonts w:hint="default" w:ascii="仿宋_GB2312" w:hAnsi="仿宋_GB2312" w:eastAsia="仿宋_GB2312" w:cs="仿宋_GB2312"/>
                <w:b/>
                <w:bCs/>
                <w:i w:val="0"/>
                <w:caps w:val="0"/>
                <w:color w:val="000000"/>
                <w:spacing w:val="0"/>
                <w:kern w:val="0"/>
                <w:sz w:val="28"/>
                <w:szCs w:val="28"/>
                <w:lang w:val="en-US" w:eastAsia="zh-CN" w:bidi="ar"/>
              </w:rPr>
            </w:pPr>
            <w:r>
              <w:rPr>
                <w:rFonts w:hint="default" w:ascii="仿宋_GB2312" w:hAnsi="仿宋_GB2312" w:eastAsia="仿宋_GB2312" w:cs="仿宋_GB2312"/>
                <w:b/>
                <w:bCs/>
                <w:i w:val="0"/>
                <w:caps w:val="0"/>
                <w:color w:val="000000"/>
                <w:spacing w:val="0"/>
                <w:kern w:val="0"/>
                <w:sz w:val="28"/>
                <w:szCs w:val="28"/>
                <w:lang w:val="en-US" w:eastAsia="zh-CN" w:bidi="ar"/>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vAlign w:val="center"/>
          </w:tcPr>
          <w:p>
            <w:pPr>
              <w:spacing w:line="440" w:lineRule="exact"/>
              <w:ind w:left="57"/>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1</w:t>
            </w:r>
          </w:p>
        </w:tc>
        <w:tc>
          <w:tcPr>
            <w:tcW w:w="6600" w:type="dxa"/>
            <w:vAlign w:val="center"/>
          </w:tcPr>
          <w:p>
            <w:pPr>
              <w:spacing w:line="440" w:lineRule="exact"/>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与其他投标供应商的法定代表人、主要经营负责人、投标授权代表人、项目负责人、主要技术人员为同一人、属同一单位或者在同一单位缴纳社会保险。</w:t>
            </w:r>
          </w:p>
        </w:tc>
        <w:tc>
          <w:tcPr>
            <w:tcW w:w="1766" w:type="dxa"/>
            <w:vAlign w:val="center"/>
          </w:tcPr>
          <w:p>
            <w:pPr>
              <w:spacing w:line="440" w:lineRule="exact"/>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49" w:type="dxa"/>
            <w:vAlign w:val="center"/>
          </w:tcPr>
          <w:p>
            <w:pPr>
              <w:spacing w:line="440" w:lineRule="exact"/>
              <w:ind w:left="57"/>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2</w:t>
            </w:r>
          </w:p>
        </w:tc>
        <w:tc>
          <w:tcPr>
            <w:tcW w:w="6600" w:type="dxa"/>
            <w:vAlign w:val="center"/>
          </w:tcPr>
          <w:p>
            <w:pPr>
              <w:spacing w:line="440" w:lineRule="exact"/>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未出现无报价、报价为零或有选择性报价</w:t>
            </w:r>
          </w:p>
        </w:tc>
        <w:tc>
          <w:tcPr>
            <w:tcW w:w="1766" w:type="dxa"/>
            <w:vAlign w:val="center"/>
          </w:tcPr>
          <w:p>
            <w:pPr>
              <w:spacing w:line="440" w:lineRule="exact"/>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9" w:type="dxa"/>
            <w:vAlign w:val="center"/>
          </w:tcPr>
          <w:p>
            <w:pPr>
              <w:spacing w:line="440" w:lineRule="exact"/>
              <w:ind w:left="57"/>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3</w:t>
            </w:r>
          </w:p>
        </w:tc>
        <w:tc>
          <w:tcPr>
            <w:tcW w:w="6600" w:type="dxa"/>
            <w:vAlign w:val="center"/>
          </w:tcPr>
          <w:p>
            <w:pPr>
              <w:spacing w:line="440" w:lineRule="exact"/>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投标总价或分项报价未超过预算控制金额</w:t>
            </w:r>
          </w:p>
        </w:tc>
        <w:tc>
          <w:tcPr>
            <w:tcW w:w="1766" w:type="dxa"/>
            <w:vAlign w:val="center"/>
          </w:tcPr>
          <w:p>
            <w:pPr>
              <w:spacing w:line="440" w:lineRule="exact"/>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849" w:type="dxa"/>
            <w:vAlign w:val="center"/>
          </w:tcPr>
          <w:p>
            <w:pPr>
              <w:spacing w:line="440" w:lineRule="exact"/>
              <w:ind w:left="57"/>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4</w:t>
            </w:r>
          </w:p>
        </w:tc>
        <w:tc>
          <w:tcPr>
            <w:tcW w:w="6600" w:type="dxa"/>
            <w:vAlign w:val="center"/>
          </w:tcPr>
          <w:p>
            <w:pPr>
              <w:spacing w:line="440" w:lineRule="exact"/>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采购单位</w:t>
            </w:r>
            <w:r>
              <w:rPr>
                <w:rFonts w:hint="default" w:ascii="仿宋_GB2312" w:hAnsi="仿宋_GB2312" w:eastAsia="仿宋_GB2312" w:cs="仿宋_GB2312"/>
                <w:b w:val="0"/>
                <w:bCs w:val="0"/>
                <w:i w:val="0"/>
                <w:caps w:val="0"/>
                <w:color w:val="000000"/>
                <w:spacing w:val="0"/>
                <w:kern w:val="0"/>
                <w:sz w:val="28"/>
                <w:szCs w:val="28"/>
                <w:lang w:val="en-US" w:eastAsia="zh-CN" w:bidi="ar"/>
              </w:rPr>
              <w:t>认为投标人的报价明显低于其他通过符合性审查投标人的报价，有可能影响产品质量或者不能诚信履约的，投标人能在合理的时间内提供书面说明</w:t>
            </w:r>
            <w:r>
              <w:rPr>
                <w:rFonts w:hint="eastAsia" w:ascii="仿宋_GB2312" w:hAnsi="仿宋_GB2312" w:eastAsia="仿宋_GB2312" w:cs="仿宋_GB2312"/>
                <w:b w:val="0"/>
                <w:bCs w:val="0"/>
                <w:i w:val="0"/>
                <w:caps w:val="0"/>
                <w:color w:val="000000"/>
                <w:spacing w:val="0"/>
                <w:kern w:val="0"/>
                <w:sz w:val="28"/>
                <w:szCs w:val="28"/>
                <w:lang w:val="en-US" w:eastAsia="zh-CN" w:bidi="ar"/>
              </w:rPr>
              <w:t>（必要时提交相关证明材料）</w:t>
            </w:r>
            <w:r>
              <w:rPr>
                <w:rFonts w:hint="default" w:ascii="仿宋_GB2312" w:hAnsi="仿宋_GB2312" w:eastAsia="仿宋_GB2312" w:cs="仿宋_GB2312"/>
                <w:b w:val="0"/>
                <w:bCs w:val="0"/>
                <w:i w:val="0"/>
                <w:caps w:val="0"/>
                <w:color w:val="000000"/>
                <w:spacing w:val="0"/>
                <w:kern w:val="0"/>
                <w:sz w:val="28"/>
                <w:szCs w:val="28"/>
                <w:lang w:val="en-US" w:eastAsia="zh-CN" w:bidi="ar"/>
              </w:rPr>
              <w:t>或提交</w:t>
            </w:r>
            <w:r>
              <w:rPr>
                <w:rFonts w:hint="eastAsia" w:ascii="仿宋_GB2312" w:hAnsi="仿宋_GB2312" w:eastAsia="仿宋_GB2312" w:cs="仿宋_GB2312"/>
                <w:b w:val="0"/>
                <w:bCs w:val="0"/>
                <w:i w:val="0"/>
                <w:caps w:val="0"/>
                <w:color w:val="000000"/>
                <w:spacing w:val="0"/>
                <w:kern w:val="0"/>
                <w:sz w:val="28"/>
                <w:szCs w:val="28"/>
                <w:lang w:val="en-US" w:eastAsia="zh-CN" w:bidi="ar"/>
              </w:rPr>
              <w:t>的书面说明</w:t>
            </w:r>
            <w:r>
              <w:rPr>
                <w:rFonts w:hint="default" w:ascii="仿宋_GB2312" w:hAnsi="仿宋_GB2312" w:eastAsia="仿宋_GB2312" w:cs="仿宋_GB2312"/>
                <w:b w:val="0"/>
                <w:bCs w:val="0"/>
                <w:i w:val="0"/>
                <w:caps w:val="0"/>
                <w:color w:val="000000"/>
                <w:spacing w:val="0"/>
                <w:kern w:val="0"/>
                <w:sz w:val="28"/>
                <w:szCs w:val="28"/>
                <w:lang w:val="en-US" w:eastAsia="zh-CN" w:bidi="ar"/>
              </w:rPr>
              <w:t>能证明其报价合理性</w:t>
            </w:r>
            <w:r>
              <w:rPr>
                <w:rFonts w:hint="eastAsia" w:ascii="仿宋_GB2312" w:hAnsi="仿宋_GB2312" w:eastAsia="仿宋_GB2312" w:cs="仿宋_GB2312"/>
                <w:b w:val="0"/>
                <w:bCs w:val="0"/>
                <w:i w:val="0"/>
                <w:caps w:val="0"/>
                <w:color w:val="000000"/>
                <w:spacing w:val="0"/>
                <w:kern w:val="0"/>
                <w:sz w:val="28"/>
                <w:szCs w:val="28"/>
                <w:lang w:val="en-US" w:eastAsia="zh-CN" w:bidi="ar"/>
              </w:rPr>
              <w:t>。（若评审人员对是否须由投标人做出报价合理性说明，以及书面说明是否采纳等判断不一致的，按照“少数服从多数”的原则确定。）</w:t>
            </w:r>
          </w:p>
        </w:tc>
        <w:tc>
          <w:tcPr>
            <w:tcW w:w="1766" w:type="dxa"/>
            <w:vAlign w:val="center"/>
          </w:tcPr>
          <w:p>
            <w:pPr>
              <w:spacing w:line="440" w:lineRule="exact"/>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9" w:type="dxa"/>
            <w:vAlign w:val="center"/>
          </w:tcPr>
          <w:p>
            <w:pPr>
              <w:spacing w:line="440" w:lineRule="exact"/>
              <w:ind w:left="57"/>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5</w:t>
            </w:r>
          </w:p>
        </w:tc>
        <w:tc>
          <w:tcPr>
            <w:tcW w:w="6600" w:type="dxa"/>
            <w:vAlign w:val="center"/>
          </w:tcPr>
          <w:p>
            <w:pPr>
              <w:spacing w:line="440" w:lineRule="exact"/>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实质性满足</w:t>
            </w:r>
            <w:r>
              <w:rPr>
                <w:rFonts w:hint="eastAsia" w:ascii="仿宋_GB2312" w:hAnsi="仿宋_GB2312" w:eastAsia="仿宋_GB2312" w:cs="仿宋_GB2312"/>
                <w:b w:val="0"/>
                <w:bCs w:val="0"/>
                <w:i w:val="0"/>
                <w:caps w:val="0"/>
                <w:color w:val="000000"/>
                <w:spacing w:val="0"/>
                <w:kern w:val="0"/>
                <w:sz w:val="28"/>
                <w:szCs w:val="28"/>
                <w:lang w:val="en-US" w:eastAsia="zh-CN" w:bidi="ar"/>
              </w:rPr>
              <w:t>采购需求</w:t>
            </w:r>
            <w:r>
              <w:rPr>
                <w:rFonts w:hint="default" w:ascii="仿宋_GB2312" w:hAnsi="仿宋_GB2312" w:eastAsia="仿宋_GB2312" w:cs="仿宋_GB2312"/>
                <w:b w:val="0"/>
                <w:bCs w:val="0"/>
                <w:i w:val="0"/>
                <w:caps w:val="0"/>
                <w:color w:val="000000"/>
                <w:spacing w:val="0"/>
                <w:kern w:val="0"/>
                <w:sz w:val="28"/>
                <w:szCs w:val="28"/>
                <w:lang w:val="en-US" w:eastAsia="zh-CN" w:bidi="ar"/>
              </w:rPr>
              <w:t>文件要求</w:t>
            </w:r>
            <w:r>
              <w:rPr>
                <w:rFonts w:hint="eastAsia" w:ascii="仿宋_GB2312" w:hAnsi="仿宋_GB2312" w:eastAsia="仿宋_GB2312" w:cs="仿宋_GB2312"/>
                <w:b w:val="0"/>
                <w:bCs w:val="0"/>
                <w:i w:val="0"/>
                <w:caps w:val="0"/>
                <w:color w:val="000000"/>
                <w:spacing w:val="0"/>
                <w:kern w:val="0"/>
                <w:sz w:val="28"/>
                <w:szCs w:val="28"/>
                <w:lang w:val="en-US" w:eastAsia="zh-CN" w:bidi="ar"/>
              </w:rPr>
              <w:t>和条件</w:t>
            </w:r>
          </w:p>
        </w:tc>
        <w:tc>
          <w:tcPr>
            <w:tcW w:w="1766" w:type="dxa"/>
            <w:vAlign w:val="center"/>
          </w:tcPr>
          <w:p>
            <w:pPr>
              <w:spacing w:line="440" w:lineRule="exact"/>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vAlign w:val="center"/>
          </w:tcPr>
          <w:p>
            <w:pPr>
              <w:spacing w:line="440" w:lineRule="exact"/>
              <w:ind w:left="57"/>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6</w:t>
            </w:r>
          </w:p>
        </w:tc>
        <w:tc>
          <w:tcPr>
            <w:tcW w:w="6600" w:type="dxa"/>
            <w:vAlign w:val="center"/>
          </w:tcPr>
          <w:p>
            <w:pPr>
              <w:spacing w:line="440" w:lineRule="exact"/>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投标文件载明的项目服务期</w:t>
            </w:r>
            <w:r>
              <w:rPr>
                <w:rFonts w:hint="eastAsia" w:ascii="仿宋_GB2312" w:hAnsi="仿宋_GB2312" w:eastAsia="仿宋_GB2312" w:cs="仿宋_GB2312"/>
                <w:b w:val="0"/>
                <w:bCs w:val="0"/>
                <w:i w:val="0"/>
                <w:caps w:val="0"/>
                <w:color w:val="000000"/>
                <w:spacing w:val="0"/>
                <w:kern w:val="0"/>
                <w:sz w:val="28"/>
                <w:szCs w:val="28"/>
                <w:lang w:val="en-US" w:eastAsia="zh-CN" w:bidi="ar"/>
              </w:rPr>
              <w:t>符合采购需求</w:t>
            </w:r>
            <w:r>
              <w:rPr>
                <w:rFonts w:hint="default" w:ascii="仿宋_GB2312" w:hAnsi="仿宋_GB2312" w:eastAsia="仿宋_GB2312" w:cs="仿宋_GB2312"/>
                <w:b w:val="0"/>
                <w:bCs w:val="0"/>
                <w:i w:val="0"/>
                <w:caps w:val="0"/>
                <w:color w:val="000000"/>
                <w:spacing w:val="0"/>
                <w:kern w:val="0"/>
                <w:sz w:val="28"/>
                <w:szCs w:val="28"/>
                <w:lang w:val="en-US" w:eastAsia="zh-CN" w:bidi="ar"/>
              </w:rPr>
              <w:t>文件规定的期限</w:t>
            </w:r>
          </w:p>
        </w:tc>
        <w:tc>
          <w:tcPr>
            <w:tcW w:w="1766" w:type="dxa"/>
            <w:vAlign w:val="center"/>
          </w:tcPr>
          <w:p>
            <w:pPr>
              <w:spacing w:line="440" w:lineRule="exact"/>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vAlign w:val="center"/>
          </w:tcPr>
          <w:p>
            <w:pPr>
              <w:spacing w:line="440" w:lineRule="exact"/>
              <w:ind w:left="57"/>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7</w:t>
            </w:r>
          </w:p>
        </w:tc>
        <w:tc>
          <w:tcPr>
            <w:tcW w:w="6600" w:type="dxa"/>
            <w:vAlign w:val="center"/>
          </w:tcPr>
          <w:p>
            <w:pPr>
              <w:spacing w:line="440" w:lineRule="exact"/>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不存在法律、法规及采购需求文件中规定的其他否决因素</w:t>
            </w:r>
          </w:p>
        </w:tc>
        <w:tc>
          <w:tcPr>
            <w:tcW w:w="1766" w:type="dxa"/>
            <w:vAlign w:val="center"/>
          </w:tcPr>
          <w:p>
            <w:pPr>
              <w:spacing w:line="440" w:lineRule="exact"/>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9" w:type="dxa"/>
            <w:vAlign w:val="center"/>
          </w:tcPr>
          <w:p>
            <w:pPr>
              <w:spacing w:line="440" w:lineRule="exact"/>
              <w:ind w:left="57"/>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8</w:t>
            </w:r>
          </w:p>
        </w:tc>
        <w:tc>
          <w:tcPr>
            <w:tcW w:w="6600" w:type="dxa"/>
            <w:vAlign w:val="center"/>
          </w:tcPr>
          <w:p>
            <w:pPr>
              <w:spacing w:line="440" w:lineRule="exact"/>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结论</w:t>
            </w:r>
          </w:p>
        </w:tc>
        <w:tc>
          <w:tcPr>
            <w:tcW w:w="1766" w:type="dxa"/>
            <w:vAlign w:val="center"/>
          </w:tcPr>
          <w:p>
            <w:pPr>
              <w:spacing w:line="440" w:lineRule="exact"/>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default" w:ascii="仿宋_GB2312" w:hAnsi="仿宋_GB2312" w:eastAsia="仿宋_GB2312" w:cs="仿宋_GB2312"/>
                <w:b w:val="0"/>
                <w:bCs w:val="0"/>
                <w:i w:val="0"/>
                <w:caps w:val="0"/>
                <w:color w:val="000000"/>
                <w:spacing w:val="0"/>
                <w:kern w:val="0"/>
                <w:sz w:val="28"/>
                <w:szCs w:val="28"/>
                <w:lang w:val="en-US" w:eastAsia="zh-CN" w:bidi="ar"/>
              </w:rPr>
              <w:t>通过/不通过</w:t>
            </w:r>
          </w:p>
        </w:tc>
      </w:tr>
    </w:tbl>
    <w:p>
      <w:pPr>
        <w:spacing w:line="340" w:lineRule="exact"/>
        <w:rPr>
          <w:rFonts w:hint="eastAsia" w:ascii="仿宋_GB2312" w:hAnsi="仿宋_GB2312" w:eastAsia="仿宋_GB2312" w:cs="仿宋_GB2312"/>
          <w:b w:val="0"/>
          <w:bCs w:val="0"/>
          <w:i w:val="0"/>
          <w:caps w:val="0"/>
          <w:color w:val="000000"/>
          <w:spacing w:val="0"/>
          <w:kern w:val="0"/>
          <w:sz w:val="28"/>
          <w:szCs w:val="28"/>
          <w:lang w:val="en-US" w:eastAsia="zh-CN" w:bidi="ar"/>
        </w:rPr>
      </w:pPr>
    </w:p>
    <w:p>
      <w:pPr>
        <w:pStyle w:val="4"/>
        <w:rPr>
          <w:rFonts w:hint="eastAsia"/>
          <w:lang w:val="en-US" w:eastAsia="zh-CN"/>
        </w:rPr>
      </w:pPr>
    </w:p>
    <w:p>
      <w:pPr>
        <w:spacing w:line="340" w:lineRule="exact"/>
        <w:jc w:val="center"/>
        <w:rPr>
          <w:rFonts w:hint="default"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bCs/>
          <w:i w:val="0"/>
          <w:caps w:val="0"/>
          <w:color w:val="000000"/>
          <w:spacing w:val="0"/>
          <w:kern w:val="0"/>
          <w:sz w:val="28"/>
          <w:szCs w:val="28"/>
          <w:lang w:val="en-US" w:eastAsia="zh-CN" w:bidi="ar"/>
        </w:rPr>
        <w:t>2.评分表</w:t>
      </w:r>
    </w:p>
    <w:tbl>
      <w:tblPr>
        <w:tblStyle w:val="1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455"/>
        <w:gridCol w:w="1537"/>
        <w:gridCol w:w="1185"/>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bookmarkStart w:id="0" w:name="OLE_LINK3" w:colFirst="0" w:colLast="4"/>
            <w:r>
              <w:rPr>
                <w:rFonts w:hint="eastAsia" w:ascii="仿宋_GB2312" w:hAnsi="仿宋_GB2312" w:eastAsia="仿宋_GB2312" w:cs="仿宋_GB2312"/>
                <w:b/>
                <w:bCs/>
                <w:i w:val="0"/>
                <w:caps w:val="0"/>
                <w:color w:val="000000"/>
                <w:spacing w:val="0"/>
                <w:kern w:val="0"/>
                <w:sz w:val="28"/>
                <w:szCs w:val="28"/>
                <w:highlight w:val="none"/>
                <w:lang w:val="en-US" w:eastAsia="zh-CN" w:bidi="ar"/>
              </w:rPr>
              <w:t>序号</w:t>
            </w:r>
          </w:p>
        </w:tc>
        <w:tc>
          <w:tcPr>
            <w:tcW w:w="3177" w:type="dxa"/>
            <w:gridSpan w:val="3"/>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评分项</w:t>
            </w:r>
          </w:p>
        </w:tc>
        <w:tc>
          <w:tcPr>
            <w:tcW w:w="5105" w:type="dxa"/>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一</w:t>
            </w:r>
          </w:p>
        </w:tc>
        <w:tc>
          <w:tcPr>
            <w:tcW w:w="3177" w:type="dxa"/>
            <w:gridSpan w:val="3"/>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价格</w:t>
            </w:r>
          </w:p>
        </w:tc>
        <w:tc>
          <w:tcPr>
            <w:tcW w:w="5105" w:type="dxa"/>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8282" w:type="dxa"/>
            <w:gridSpan w:val="4"/>
            <w:vAlign w:val="center"/>
          </w:tcPr>
          <w:p>
            <w:pPr>
              <w:spacing w:line="42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投标报价价格分=（评标基准价/投标报价）×10</w:t>
            </w:r>
          </w:p>
          <w:p>
            <w:pPr>
              <w:spacing w:line="42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二</w:t>
            </w:r>
          </w:p>
        </w:tc>
        <w:tc>
          <w:tcPr>
            <w:tcW w:w="3177" w:type="dxa"/>
            <w:gridSpan w:val="3"/>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技术部分</w:t>
            </w:r>
          </w:p>
        </w:tc>
        <w:tc>
          <w:tcPr>
            <w:tcW w:w="5105"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restart"/>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455"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序号</w:t>
            </w:r>
          </w:p>
        </w:tc>
        <w:tc>
          <w:tcPr>
            <w:tcW w:w="1537"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评分因素</w:t>
            </w:r>
          </w:p>
        </w:tc>
        <w:tc>
          <w:tcPr>
            <w:tcW w:w="1185"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分值</w:t>
            </w:r>
          </w:p>
        </w:tc>
        <w:tc>
          <w:tcPr>
            <w:tcW w:w="5105"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shd w:val="clear" w:color="auto" w:fill="auto"/>
            <w:vAlign w:val="center"/>
          </w:tcPr>
          <w:p>
            <w:pPr>
              <w:spacing w:line="360" w:lineRule="auto"/>
              <w:jc w:val="center"/>
              <w:outlineLvl w:val="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45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w:t>
            </w:r>
          </w:p>
        </w:tc>
        <w:tc>
          <w:tcPr>
            <w:tcW w:w="1537" w:type="dxa"/>
            <w:shd w:val="clear" w:color="auto" w:fill="auto"/>
            <w:vAlign w:val="center"/>
          </w:tcPr>
          <w:p>
            <w:pPr>
              <w:spacing w:line="380" w:lineRule="exact"/>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大赛组织方案</w:t>
            </w:r>
          </w:p>
        </w:tc>
        <w:tc>
          <w:tcPr>
            <w:tcW w:w="118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w:t>
            </w: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0</w:t>
            </w:r>
          </w:p>
        </w:tc>
        <w:tc>
          <w:tcPr>
            <w:tcW w:w="5105" w:type="dxa"/>
            <w:shd w:val="clear" w:color="auto" w:fill="auto"/>
            <w:vAlign w:val="center"/>
          </w:tcPr>
          <w:p>
            <w:pPr>
              <w:shd w:val="clear" w:color="auto" w:fill="FFFFFF"/>
              <w:spacing w:line="300" w:lineRule="exac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（一）评审标准：</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投标文件中大赛组织方案内容应包括但不限于：</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1.投标人亮点介绍；</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2.赛事组织及安排；</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3.项目征集合作机构；</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4.评审安排；</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5.可邀请评委名单及评委简历；</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6.赛事现场布置；</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7.赛事宣讲会；</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8.赛事宣传安排（内容涵盖：A.宣传节点安排、B.宣传活动策划、C.在各大宣传平台上对赛事报道不少于10篇文章。）；</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9.建议的组织执行工作；</w:t>
            </w:r>
          </w:p>
          <w:p>
            <w:pPr>
              <w:shd w:val="clear" w:color="auto" w:fill="FFFFFF"/>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10.征集项目数150个以上，投标人须提供承诺函，格式自拟。</w:t>
            </w:r>
          </w:p>
          <w:p>
            <w:pPr>
              <w:spacing w:line="300" w:lineRule="exac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（二）评分依据：</w:t>
            </w:r>
          </w:p>
          <w:p>
            <w:pPr>
              <w:spacing w:line="30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（1）满足以上10项要求得15分，满足以上任意9项要求得12分，满足以上任意7-8项要求得9分，满足以上任意5-6项要求得6分，满足以上任意3-4项要求得3分，满足以上任意1-2项要求得1分，其他情况不得分。</w:t>
            </w:r>
          </w:p>
          <w:p>
            <w:pPr>
              <w:spacing w:line="300" w:lineRule="exact"/>
              <w:jc w:val="lef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（2）在此基础上，评审人员根据各供应商的具体响应情况按照量化的评审因素进一步评审：</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br w:type="textWrapping"/>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1.评审为优（大赛组织方案内容具体、内容针对性强、内容科学合理、内容可操作性强）的加5分；</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br w:type="textWrapping"/>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2.评审为良（大赛组织方案内容较具体、内容针对性较强、内容较科学合理、内容可操作性较强）的加3分；</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br w:type="textWrapping"/>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3.评审为中（大赛组织方案内容具体性一般、内容针对性一般）的加1分；</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br w:type="textWrapping"/>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4.评审为差（大赛组织方案内容具体性差、内容针对性差、内容科学合理性差、内容可操作性差）的不加分；评审为差，评审人员须书面说明理由，并记录在档。</w:t>
            </w:r>
          </w:p>
          <w:p>
            <w:pPr>
              <w:spacing w:line="300" w:lineRule="exact"/>
              <w:jc w:val="lef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未提供组织方案的不得分。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shd w:val="clear" w:color="auto" w:fill="auto"/>
            <w:vAlign w:val="center"/>
          </w:tcPr>
          <w:p>
            <w:pPr>
              <w:spacing w:line="360" w:lineRule="auto"/>
              <w:jc w:val="center"/>
              <w:outlineLvl w:val="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45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w:t>
            </w:r>
          </w:p>
        </w:tc>
        <w:tc>
          <w:tcPr>
            <w:tcW w:w="1537" w:type="dxa"/>
            <w:shd w:val="clear" w:color="auto" w:fill="auto"/>
            <w:vAlign w:val="center"/>
          </w:tcPr>
          <w:p>
            <w:pPr>
              <w:spacing w:line="380" w:lineRule="exact"/>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大赛评委邀请</w:t>
            </w:r>
          </w:p>
        </w:tc>
        <w:tc>
          <w:tcPr>
            <w:tcW w:w="118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w:t>
            </w: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0</w:t>
            </w:r>
          </w:p>
        </w:tc>
        <w:tc>
          <w:tcPr>
            <w:tcW w:w="5105" w:type="dxa"/>
            <w:shd w:val="clear" w:color="auto" w:fill="auto"/>
            <w:vAlign w:val="center"/>
          </w:tcPr>
          <w:p>
            <w:pPr>
              <w:adjustRightInd w:val="0"/>
              <w:snapToGrid w:val="0"/>
              <w:spacing w:line="380" w:lineRule="exact"/>
              <w:jc w:val="lef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（一）评审标准：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初赛邀请不少于7名国内专家评审，其中投资专家不少于4名；决赛邀请7名当地技术专家、投资专家担任评委。不满足评委设定的，本大项不得分，在此基础进行评审，其中：</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1.每邀请1位国外正教授，或同级及以上研究员担任决赛评委，得4分；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2.每邀请1位国外副教授或副研究员担任决赛评委，得3分；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两小项之和，最高得10分。</w:t>
            </w:r>
          </w:p>
          <w:p>
            <w:pPr>
              <w:adjustRightInd w:val="0"/>
              <w:snapToGrid w:val="0"/>
              <w:spacing w:line="380" w:lineRule="exact"/>
              <w:jc w:val="lef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（二）评分依据：</w:t>
            </w:r>
          </w:p>
          <w:p>
            <w:pPr>
              <w:shd w:val="clear" w:color="auto" w:fill="FFFFFF"/>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要求投标人提供专家简历，以及其他可证明国外副教授级或同级及以上研究员的相关佐证材料。未提供证明资料或未按要求提供资料的或提供的材料专家认为无法判断的均不得分。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shd w:val="clear" w:color="auto" w:fill="auto"/>
            <w:vAlign w:val="center"/>
          </w:tcPr>
          <w:p>
            <w:pPr>
              <w:spacing w:line="360" w:lineRule="auto"/>
              <w:jc w:val="center"/>
              <w:outlineLvl w:val="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45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3</w:t>
            </w:r>
          </w:p>
        </w:tc>
        <w:tc>
          <w:tcPr>
            <w:tcW w:w="1537" w:type="dxa"/>
            <w:shd w:val="clear" w:color="auto" w:fill="auto"/>
            <w:vAlign w:val="center"/>
          </w:tcPr>
          <w:p>
            <w:pPr>
              <w:spacing w:line="380" w:lineRule="exact"/>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生态资源对接能力</w:t>
            </w:r>
          </w:p>
        </w:tc>
        <w:tc>
          <w:tcPr>
            <w:tcW w:w="118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10</w:t>
            </w:r>
          </w:p>
        </w:tc>
        <w:tc>
          <w:tcPr>
            <w:tcW w:w="5105" w:type="dxa"/>
            <w:shd w:val="clear" w:color="auto" w:fill="auto"/>
            <w:vAlign w:val="center"/>
          </w:tcPr>
          <w:p>
            <w:pPr>
              <w:adjustRightInd w:val="0"/>
              <w:snapToGrid w:val="0"/>
              <w:spacing w:line="380" w:lineRule="exact"/>
              <w:jc w:val="lef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（一）评审标准：</w:t>
            </w:r>
          </w:p>
          <w:p>
            <w:pPr>
              <w:spacing w:line="380" w:lineRule="exact"/>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与海外机构（包括但不限于：政府机构、科研高校、孵化载体、社会组织等）建立合作关系，用于大赛宣传、征集项目、推荐评委嘉宾等，评审标准：</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br w:type="textWrapping"/>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1.累计15个及以上，得10分；</w:t>
            </w:r>
          </w:p>
          <w:p>
            <w:pPr>
              <w:spacing w:line="380" w:lineRule="exact"/>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2.累计10-14个，得7分；</w:t>
            </w:r>
          </w:p>
          <w:p>
            <w:pPr>
              <w:spacing w:line="380" w:lineRule="exact"/>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3.累计5-9个，得4分；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4.累计1-4个，得1分；</w:t>
            </w:r>
          </w:p>
          <w:p>
            <w:pPr>
              <w:shd w:val="clear" w:color="auto" w:fill="FFFFFF"/>
              <w:spacing w:line="380" w:lineRule="exact"/>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pP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5.</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其他情况不得分。</w:t>
            </w:r>
          </w:p>
          <w:p>
            <w:pPr>
              <w:adjustRightInd w:val="0"/>
              <w:snapToGrid w:val="0"/>
              <w:spacing w:line="380" w:lineRule="exact"/>
              <w:jc w:val="lef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（二）评分依据：</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1.需提供与海外机构签署的合作协议复印件并加盖投标人公章。</w:t>
            </w:r>
          </w:p>
          <w:p>
            <w:pPr>
              <w:spacing w:line="380" w:lineRule="exact"/>
              <w:jc w:val="lef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2.未提供证明资料或未按要求提供资料的或提供的材料评审人员认为无法判断的均不得分。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shd w:val="clear" w:color="auto" w:fill="auto"/>
            <w:vAlign w:val="center"/>
          </w:tcPr>
          <w:p>
            <w:pPr>
              <w:spacing w:line="360" w:lineRule="auto"/>
              <w:jc w:val="center"/>
              <w:outlineLvl w:val="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45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4</w:t>
            </w:r>
          </w:p>
        </w:tc>
        <w:tc>
          <w:tcPr>
            <w:tcW w:w="1537" w:type="dxa"/>
            <w:shd w:val="clear" w:color="auto" w:fill="auto"/>
            <w:vAlign w:val="center"/>
          </w:tcPr>
          <w:p>
            <w:pPr>
              <w:spacing w:line="380" w:lineRule="exact"/>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国际赛事承办情况</w:t>
            </w:r>
          </w:p>
        </w:tc>
        <w:tc>
          <w:tcPr>
            <w:tcW w:w="118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15</w:t>
            </w:r>
          </w:p>
        </w:tc>
        <w:tc>
          <w:tcPr>
            <w:tcW w:w="5105" w:type="dxa"/>
            <w:shd w:val="clear" w:color="auto" w:fill="auto"/>
            <w:vAlign w:val="center"/>
          </w:tcPr>
          <w:p>
            <w:pPr>
              <w:spacing w:line="380" w:lineRule="exac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（一）评分标准：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截至本项目投标截止之日，</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1.累计承办过国际性创赛赛事10场及以上，且每场赛事累计征集100个及以上有效项目，得15分；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2.累计承办过国际性创赛赛事6-9场，且每场赛事累计征集90个及以</w:t>
            </w:r>
            <w:bookmarkStart w:id="3" w:name="_GoBack"/>
            <w:bookmarkEnd w:id="3"/>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上有效项目，得10分；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3.累计承办过国际性创赛赛事1-5场，且每场赛事累计征集80个及以上有效项目，得5分；</w:t>
            </w:r>
          </w:p>
          <w:p>
            <w:pPr>
              <w:spacing w:line="380" w:lineRule="exact"/>
              <w:jc w:val="left"/>
              <w:rPr>
                <w:rFonts w:hint="default"/>
                <w:highlight w:val="none"/>
                <w:lang w:val="en-US" w:eastAsia="zh-CN"/>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4.其他情况不得分。</w:t>
            </w:r>
          </w:p>
          <w:p>
            <w:pPr>
              <w:spacing w:line="380" w:lineRule="exac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（二）评分依据：</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需提供相关项目合同关键页复印件等证明资料并加盖投标人公章。</w:t>
            </w:r>
          </w:p>
          <w:p>
            <w:pPr>
              <w:spacing w:line="380" w:lineRule="exact"/>
              <w:rPr>
                <w:rFonts w:hint="default"/>
                <w:highlight w:val="none"/>
                <w:lang w:val="en-US" w:eastAsia="zh-CN"/>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（合同关键页信息包括但不限于：注明主办方、承办方、赛事时间、含签订合同双方的落款盖章、签订日期），</w:t>
            </w:r>
            <w:r>
              <w:rPr>
                <w:rFonts w:hint="eastAsia" w:ascii="仿宋_GB2312" w:hAnsi="仿宋_GB2312" w:eastAsia="仿宋_GB2312" w:cs="仿宋_GB2312"/>
                <w:b/>
                <w:bCs/>
                <w:i w:val="0"/>
                <w:caps w:val="0"/>
                <w:color w:val="000000"/>
                <w:spacing w:val="0"/>
                <w:kern w:val="0"/>
                <w:sz w:val="28"/>
                <w:szCs w:val="28"/>
                <w:highlight w:val="none"/>
                <w:lang w:val="en-US" w:eastAsia="zh-CN" w:bidi="ar"/>
              </w:rPr>
              <w:t>通过合同关键信息无法判断是否得分的，还须需同时提供能证明得分的其它证明资料</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，如项目报告、合同甲方出具的证明文件或新闻报道截图等。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三</w:t>
            </w:r>
          </w:p>
        </w:tc>
        <w:tc>
          <w:tcPr>
            <w:tcW w:w="3177" w:type="dxa"/>
            <w:gridSpan w:val="3"/>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商务需求</w:t>
            </w:r>
          </w:p>
        </w:tc>
        <w:tc>
          <w:tcPr>
            <w:tcW w:w="5105"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restart"/>
            <w:shd w:val="clear" w:color="auto" w:fill="auto"/>
            <w:vAlign w:val="center"/>
          </w:tcPr>
          <w:p>
            <w:pPr>
              <w:spacing w:line="360" w:lineRule="auto"/>
              <w:jc w:val="center"/>
              <w:outlineLvl w:val="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455"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序号</w:t>
            </w:r>
          </w:p>
        </w:tc>
        <w:tc>
          <w:tcPr>
            <w:tcW w:w="1537"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评分因素</w:t>
            </w:r>
          </w:p>
        </w:tc>
        <w:tc>
          <w:tcPr>
            <w:tcW w:w="1185"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权重</w:t>
            </w:r>
          </w:p>
        </w:tc>
        <w:tc>
          <w:tcPr>
            <w:tcW w:w="5105" w:type="dxa"/>
            <w:shd w:val="clear" w:color="auto" w:fill="auto"/>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shd w:val="clear" w:color="auto" w:fill="auto"/>
            <w:vAlign w:val="center"/>
          </w:tcPr>
          <w:p>
            <w:pPr>
              <w:spacing w:line="360" w:lineRule="auto"/>
              <w:jc w:val="center"/>
              <w:outlineLvl w:val="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45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w:t>
            </w:r>
          </w:p>
        </w:tc>
        <w:tc>
          <w:tcPr>
            <w:tcW w:w="1537"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征集的参赛项目晋级获奖情况</w:t>
            </w:r>
          </w:p>
        </w:tc>
        <w:tc>
          <w:tcPr>
            <w:tcW w:w="118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15</w:t>
            </w:r>
          </w:p>
        </w:tc>
        <w:tc>
          <w:tcPr>
            <w:tcW w:w="5105" w:type="dxa"/>
            <w:shd w:val="clear" w:color="auto" w:fill="auto"/>
            <w:vAlign w:val="center"/>
          </w:tcPr>
          <w:p>
            <w:pPr>
              <w:adjustRightInd w:val="0"/>
              <w:snapToGrid w:val="0"/>
              <w:spacing w:line="380" w:lineRule="exact"/>
              <w:jc w:val="lef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（一）评分内容：</w:t>
            </w:r>
          </w:p>
          <w:p>
            <w:pPr>
              <w:pStyle w:val="2"/>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bookmarkStart w:id="1" w:name="OLE_LINK9"/>
            <w:bookmarkStart w:id="2" w:name="OLE_LINK10"/>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截至本项目投标截止之日，</w:t>
            </w:r>
            <w:bookmarkEnd w:id="1"/>
            <w:bookmarkEnd w:id="2"/>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投标人在承办过的国际性创赛赛事中，所征集的参赛项目晋级市级及以上总决赛并获得一等奖、二等奖、三等奖累计数量：</w:t>
            </w:r>
          </w:p>
          <w:p>
            <w:pPr>
              <w:pStyle w:val="10"/>
              <w:spacing w:after="0" w:line="380" w:lineRule="exact"/>
              <w:ind w:firstLine="0" w:firstLineChars="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1.15个及以上，得15分；</w:t>
            </w:r>
          </w:p>
          <w:p>
            <w:pPr>
              <w:pStyle w:val="10"/>
              <w:spacing w:after="0" w:line="380" w:lineRule="exact"/>
              <w:ind w:firstLine="0" w:firstLineChars="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2.11-14个，得11分</w:t>
            </w:r>
          </w:p>
          <w:p>
            <w:pPr>
              <w:pStyle w:val="10"/>
              <w:spacing w:after="0" w:line="380" w:lineRule="exact"/>
              <w:ind w:firstLine="0" w:firstLineChars="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3. 6-10个，得7分；</w:t>
            </w:r>
          </w:p>
          <w:p>
            <w:pPr>
              <w:pStyle w:val="10"/>
              <w:spacing w:after="0" w:line="380" w:lineRule="exact"/>
              <w:ind w:firstLine="0" w:firstLineChars="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4.1-5个，得3分；</w:t>
            </w:r>
          </w:p>
          <w:p>
            <w:pPr>
              <w:pStyle w:val="10"/>
              <w:spacing w:after="0" w:line="380" w:lineRule="exact"/>
              <w:ind w:firstLine="0" w:firstLineChars="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5.无获奖情况，该项不得分。</w:t>
            </w:r>
          </w:p>
          <w:p>
            <w:pPr>
              <w:adjustRightInd w:val="0"/>
              <w:snapToGrid w:val="0"/>
              <w:spacing w:line="380" w:lineRule="exact"/>
              <w:jc w:val="lef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（二）评分依据:</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w:t>
            </w: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投标人需提供媒体报道获奖信息截图或赛事现场活动图片/照片。</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投标人和主办单位签署的关于承办国际赛事的合同关键页【服务内容页、签字盖章页（甲方公章或业务章）、签订时间页】复印件，通过合同关键信息无法判断是否得分的，还需同时提供合同甲方出具的证明文件。</w:t>
            </w:r>
          </w:p>
          <w:p>
            <w:pPr>
              <w:tabs>
                <w:tab w:val="left" w:pos="312"/>
              </w:tabs>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3.未提供证明资料或未按要求提供资料的或提供的材料专家认为无法判断的均不得分。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shd w:val="clear" w:color="auto" w:fill="auto"/>
            <w:vAlign w:val="center"/>
          </w:tcPr>
          <w:p>
            <w:pPr>
              <w:spacing w:line="360" w:lineRule="auto"/>
              <w:jc w:val="center"/>
              <w:outlineLvl w:val="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45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2</w:t>
            </w:r>
          </w:p>
        </w:tc>
        <w:tc>
          <w:tcPr>
            <w:tcW w:w="1537"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项目团队</w:t>
            </w:r>
          </w:p>
        </w:tc>
        <w:tc>
          <w:tcPr>
            <w:tcW w:w="1185" w:type="dxa"/>
            <w:shd w:val="clear" w:color="auto" w:fill="auto"/>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15</w:t>
            </w:r>
          </w:p>
        </w:tc>
        <w:tc>
          <w:tcPr>
            <w:tcW w:w="5105" w:type="dxa"/>
            <w:shd w:val="clear" w:color="auto" w:fill="auto"/>
            <w:vAlign w:val="center"/>
          </w:tcPr>
          <w:p>
            <w:pPr>
              <w:spacing w:line="380" w:lineRule="exac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(一)、评分内容：</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对投标人提供的核心团队配备人员情况进行评分，其中：</w:t>
            </w:r>
          </w:p>
          <w:p>
            <w:pPr>
              <w:spacing w:line="380" w:lineRule="exac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（1）项目核心团队人数：</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1.项目核心团队（含国内及海外）配备8人及以上，得10分；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2.项目核心团队（含国内及海外）配备5-7人，得6分；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3.项目核心团队（含国内及海外）配备</w:t>
            </w: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2</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-4人，得2分；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4.项目核心团队（含国内及海外）配备</w:t>
            </w: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1</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人及以下的，该项不得分。</w:t>
            </w:r>
          </w:p>
          <w:p>
            <w:pPr>
              <w:spacing w:line="380" w:lineRule="exac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（2）项目核心团队学历：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1.项目核心团队（含国内及海外）有5名及以上工作人员具备研究生及以上学历的，得5分；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2.项目核心团队（含国内及海外）有4名工作人员具备研究生及以上学历的，得4分；</w:t>
            </w:r>
          </w:p>
          <w:p>
            <w:pPr>
              <w:spacing w:line="380" w:lineRule="exact"/>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3.项目核心团队（含国内及海外）有3名工作人员具备研究生及以上学历的，得3分；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4.项目核心团队（含国内及海外）有</w:t>
            </w: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1</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-2名工作人员具备研究生及以上学历的，得1分；</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5.不满足以上要求的，该项不得分。</w:t>
            </w:r>
          </w:p>
          <w:p>
            <w:pPr>
              <w:spacing w:line="380" w:lineRule="exact"/>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（二）评分依据：</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1.需提供项目核心团队（含国内及海外）人员名单及配备承诺函（格式自拟）。</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br w:type="textWrapping"/>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2.每个团队成员须提供近1个月社保证明文件或劳动合同或近1个月银行代发工资记录作为本单位员工的证明依据。</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3.须提供人员学历证书以及学信网查询记录，学信网无法查询的，可提供其他佐证材料:如毕业院校、人社部门等颁发机构或监管机构等单位出具的证明；留学归国人员境外获得学历、学位证书，如无法提供学信网查询记录截图，提供国（境）外学历证书复印件和教育部留学服务中心出具的国外学历认证书复印件【或教育部留学服务中心网站（http://zwfw.cscse.edu.cn/）在线查询截图】也予以认可。 海外团队成员中如不属于归国人员的，同时提供国（境）外学历证书复印件及证书持有人有效的境外居留证件（包括但不限于身份证明文件、绿卡、工签等）复印件，不需学历认证。</w:t>
            </w:r>
          </w:p>
          <w:p>
            <w:pPr>
              <w:spacing w:line="38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4.以上资料均要求提供复印件。评分中出现无证明资料或专家无法凭所提供资料判断是否得分的情况，一律作不得分处理。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四</w:t>
            </w:r>
          </w:p>
        </w:tc>
        <w:tc>
          <w:tcPr>
            <w:tcW w:w="3177" w:type="dxa"/>
            <w:gridSpan w:val="3"/>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诚信情况</w:t>
            </w:r>
          </w:p>
        </w:tc>
        <w:tc>
          <w:tcPr>
            <w:tcW w:w="5105" w:type="dxa"/>
            <w:vAlign w:val="center"/>
          </w:tcPr>
          <w:p>
            <w:pPr>
              <w:pStyle w:val="7"/>
              <w:pBdr>
                <w:bottom w:val="none" w:color="auto" w:sz="0" w:space="0"/>
              </w:pBdr>
              <w:tabs>
                <w:tab w:val="clear" w:pos="4153"/>
                <w:tab w:val="clear" w:pos="8306"/>
              </w:tabs>
              <w:adjustRightInd/>
              <w:spacing w:line="420" w:lineRule="exact"/>
              <w:textAlignment w:val="auto"/>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restart"/>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455" w:type="dxa"/>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序号</w:t>
            </w:r>
          </w:p>
        </w:tc>
        <w:tc>
          <w:tcPr>
            <w:tcW w:w="1537" w:type="dxa"/>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评分因素</w:t>
            </w:r>
          </w:p>
        </w:tc>
        <w:tc>
          <w:tcPr>
            <w:tcW w:w="1185" w:type="dxa"/>
            <w:vAlign w:val="center"/>
          </w:tcPr>
          <w:p>
            <w:pPr>
              <w:spacing w:line="360" w:lineRule="auto"/>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权重</w:t>
            </w:r>
          </w:p>
        </w:tc>
        <w:tc>
          <w:tcPr>
            <w:tcW w:w="5105" w:type="dxa"/>
            <w:vAlign w:val="center"/>
          </w:tcPr>
          <w:p>
            <w:pPr>
              <w:spacing w:line="420" w:lineRule="exact"/>
              <w:jc w:val="center"/>
              <w:rPr>
                <w:rFonts w:hint="default" w:ascii="仿宋_GB2312" w:hAnsi="仿宋_GB2312" w:eastAsia="仿宋_GB2312" w:cs="仿宋_GB2312"/>
                <w:b/>
                <w:bCs/>
                <w:i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caps w:val="0"/>
                <w:color w:val="000000"/>
                <w:spacing w:val="0"/>
                <w:kern w:val="0"/>
                <w:sz w:val="28"/>
                <w:szCs w:val="28"/>
                <w:highlight w:val="none"/>
                <w:lang w:val="en-US" w:eastAsia="zh-CN"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Merge w:val="continue"/>
            <w:vAlign w:val="center"/>
          </w:tcPr>
          <w:p>
            <w:pPr>
              <w:spacing w:line="360" w:lineRule="auto"/>
              <w:jc w:val="center"/>
              <w:outlineLvl w:val="0"/>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p>
        </w:tc>
        <w:tc>
          <w:tcPr>
            <w:tcW w:w="455" w:type="dxa"/>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1</w:t>
            </w:r>
          </w:p>
        </w:tc>
        <w:tc>
          <w:tcPr>
            <w:tcW w:w="1537" w:type="dxa"/>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诚信</w:t>
            </w:r>
          </w:p>
        </w:tc>
        <w:tc>
          <w:tcPr>
            <w:tcW w:w="1185" w:type="dxa"/>
            <w:vAlign w:val="center"/>
          </w:tcPr>
          <w:p>
            <w:pPr>
              <w:spacing w:line="360" w:lineRule="auto"/>
              <w:jc w:val="cente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5</w:t>
            </w:r>
          </w:p>
        </w:tc>
        <w:tc>
          <w:tcPr>
            <w:tcW w:w="5105" w:type="dxa"/>
          </w:tcPr>
          <w:p>
            <w:pPr>
              <w:spacing w:line="42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根据《深圳市财政局关于印发</w:t>
            </w: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5</w:t>
            </w: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分。</w:t>
            </w:r>
          </w:p>
          <w:p>
            <w:pPr>
              <w:pStyle w:val="5"/>
              <w:spacing w:line="420" w:lineRule="exact"/>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pP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（采购机构通过“信用中国”（</w:t>
            </w: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www.creditchina.gov.cn）、“中国政府采购网”（www.ccgp.gov.cn）、“深圳市政府采购监管网”（http://zfcg.sz.gov.cn）以及市、区财政部门认定的其他渠道查询供应商信用信息，具体以</w:t>
            </w:r>
            <w:r>
              <w:rPr>
                <w:rFonts w:hint="eastAsia" w:ascii="仿宋_GB2312" w:hAnsi="仿宋_GB2312" w:eastAsia="仿宋_GB2312" w:cs="仿宋_GB2312"/>
                <w:b w:val="0"/>
                <w:bCs w:val="0"/>
                <w:i w:val="0"/>
                <w:caps w:val="0"/>
                <w:color w:val="000000"/>
                <w:spacing w:val="0"/>
                <w:kern w:val="0"/>
                <w:sz w:val="28"/>
                <w:szCs w:val="28"/>
                <w:highlight w:val="none"/>
                <w:lang w:val="en-US" w:eastAsia="zh-CN" w:bidi="ar"/>
              </w:rPr>
              <w:t>评审</w:t>
            </w:r>
            <w:r>
              <w:rPr>
                <w:rFonts w:hint="default" w:ascii="仿宋_GB2312" w:hAnsi="仿宋_GB2312" w:eastAsia="仿宋_GB2312" w:cs="仿宋_GB2312"/>
                <w:b w:val="0"/>
                <w:bCs w:val="0"/>
                <w:i w:val="0"/>
                <w:caps w:val="0"/>
                <w:color w:val="000000"/>
                <w:spacing w:val="0"/>
                <w:kern w:val="0"/>
                <w:sz w:val="28"/>
                <w:szCs w:val="28"/>
                <w:highlight w:val="none"/>
                <w:lang w:val="en-US" w:eastAsia="zh-CN" w:bidi="ar"/>
              </w:rPr>
              <w:t>当日上述渠道的全部查询结果为准，投标人无需提供证明材料。）</w:t>
            </w:r>
          </w:p>
        </w:tc>
      </w:tr>
      <w:bookmarkEnd w:id="0"/>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560" w:firstLineChars="200"/>
        <w:jc w:val="left"/>
        <w:textAlignment w:val="auto"/>
        <w:rPr>
          <w:rFonts w:hint="eastAsia" w:ascii="仿宋_GB2312" w:hAnsi="仿宋_GB2312" w:eastAsia="仿宋_GB2312" w:cs="仿宋_GB2312"/>
          <w:b w:val="0"/>
          <w:bCs w:val="0"/>
          <w:i w:val="0"/>
          <w:caps w:val="0"/>
          <w:color w:val="000000"/>
          <w:spacing w:val="0"/>
          <w:kern w:val="0"/>
          <w:sz w:val="28"/>
          <w:szCs w:val="28"/>
          <w:lang w:val="en-US" w:eastAsia="zh-CN" w:bidi="ar"/>
        </w:rPr>
      </w:pPr>
      <w:r>
        <w:rPr>
          <w:rFonts w:hint="eastAsia" w:ascii="仿宋_GB2312" w:hAnsi="仿宋_GB2312" w:eastAsia="仿宋_GB2312" w:cs="仿宋_GB2312"/>
          <w:b w:val="0"/>
          <w:bCs w:val="0"/>
          <w:i w:val="0"/>
          <w:caps w:val="0"/>
          <w:color w:val="000000"/>
          <w:spacing w:val="0"/>
          <w:kern w:val="0"/>
          <w:sz w:val="28"/>
          <w:szCs w:val="28"/>
          <w:lang w:val="en-US" w:eastAsia="zh-CN" w:bidi="ar"/>
        </w:rPr>
        <w:t>说明：1.本评分表中每一栏的得分最高不得超过该项评审指标的分值。2.表中要求提供相关计分证明文件的内容，投标文件中须明确加以说明，未按要求提供相关文件或说明不清楚的按不符合要求处理。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BFD6BF"/>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6A7B1B"/>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9D9397E"/>
    <w:rsid w:val="2A5E7CDA"/>
    <w:rsid w:val="2A6C67B2"/>
    <w:rsid w:val="2B0F454F"/>
    <w:rsid w:val="2DEA176B"/>
    <w:rsid w:val="2E171336"/>
    <w:rsid w:val="2EC17010"/>
    <w:rsid w:val="2EC7666F"/>
    <w:rsid w:val="2F2048B1"/>
    <w:rsid w:val="2F4C700D"/>
    <w:rsid w:val="2F7F9A4A"/>
    <w:rsid w:val="307D2EBD"/>
    <w:rsid w:val="31321F62"/>
    <w:rsid w:val="31C94E76"/>
    <w:rsid w:val="338F34F8"/>
    <w:rsid w:val="33D13151"/>
    <w:rsid w:val="33DC3393"/>
    <w:rsid w:val="343000F8"/>
    <w:rsid w:val="3471583A"/>
    <w:rsid w:val="34E207CA"/>
    <w:rsid w:val="34F915CB"/>
    <w:rsid w:val="35840B34"/>
    <w:rsid w:val="35FC6BC2"/>
    <w:rsid w:val="36BD9095"/>
    <w:rsid w:val="36D43DFF"/>
    <w:rsid w:val="37B04CCA"/>
    <w:rsid w:val="37E072FC"/>
    <w:rsid w:val="38213D5E"/>
    <w:rsid w:val="3857134C"/>
    <w:rsid w:val="396547E9"/>
    <w:rsid w:val="397E1DD7"/>
    <w:rsid w:val="39B36B20"/>
    <w:rsid w:val="39FF85D4"/>
    <w:rsid w:val="3BD861B4"/>
    <w:rsid w:val="3C0440CF"/>
    <w:rsid w:val="3C1670B1"/>
    <w:rsid w:val="3CD40544"/>
    <w:rsid w:val="3CF74A34"/>
    <w:rsid w:val="3D7B53FF"/>
    <w:rsid w:val="3EBC8ABD"/>
    <w:rsid w:val="3F1C2748"/>
    <w:rsid w:val="3F4FD824"/>
    <w:rsid w:val="3F9A137A"/>
    <w:rsid w:val="3FB90CDB"/>
    <w:rsid w:val="3FED4782"/>
    <w:rsid w:val="3FEE5225"/>
    <w:rsid w:val="3FFBD2B1"/>
    <w:rsid w:val="3FFD1E2B"/>
    <w:rsid w:val="3FFEA7B6"/>
    <w:rsid w:val="3FFF4814"/>
    <w:rsid w:val="3FFF6E44"/>
    <w:rsid w:val="40475A23"/>
    <w:rsid w:val="405C51FA"/>
    <w:rsid w:val="41717486"/>
    <w:rsid w:val="42623DB4"/>
    <w:rsid w:val="43750D92"/>
    <w:rsid w:val="43CD69B0"/>
    <w:rsid w:val="46B24D37"/>
    <w:rsid w:val="47106FE8"/>
    <w:rsid w:val="471655A4"/>
    <w:rsid w:val="4751227F"/>
    <w:rsid w:val="47AF25AE"/>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9FB248"/>
    <w:rsid w:val="55C44E12"/>
    <w:rsid w:val="55C667DB"/>
    <w:rsid w:val="55E15C2F"/>
    <w:rsid w:val="56822056"/>
    <w:rsid w:val="56CE091E"/>
    <w:rsid w:val="576A3917"/>
    <w:rsid w:val="57B90F22"/>
    <w:rsid w:val="57EF66CF"/>
    <w:rsid w:val="589679B0"/>
    <w:rsid w:val="59045DAE"/>
    <w:rsid w:val="59100DE8"/>
    <w:rsid w:val="59793801"/>
    <w:rsid w:val="598469DF"/>
    <w:rsid w:val="59E63CA9"/>
    <w:rsid w:val="5A0F5412"/>
    <w:rsid w:val="5A394EF2"/>
    <w:rsid w:val="5ABEDA38"/>
    <w:rsid w:val="5AC911BF"/>
    <w:rsid w:val="5BCF179C"/>
    <w:rsid w:val="5BDD6B59"/>
    <w:rsid w:val="5C213BE9"/>
    <w:rsid w:val="5CEA1DD2"/>
    <w:rsid w:val="5EE445D9"/>
    <w:rsid w:val="5EFF3972"/>
    <w:rsid w:val="5F1736F2"/>
    <w:rsid w:val="5F8A60C4"/>
    <w:rsid w:val="5FB330EC"/>
    <w:rsid w:val="5FFAE88B"/>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9B77A00"/>
    <w:rsid w:val="69BECD60"/>
    <w:rsid w:val="69F7ADFA"/>
    <w:rsid w:val="6A4D4ADA"/>
    <w:rsid w:val="6A851C67"/>
    <w:rsid w:val="6AF76219"/>
    <w:rsid w:val="6AF80DF1"/>
    <w:rsid w:val="6B155885"/>
    <w:rsid w:val="6B494292"/>
    <w:rsid w:val="6B864430"/>
    <w:rsid w:val="6BB3100E"/>
    <w:rsid w:val="6BFDF978"/>
    <w:rsid w:val="6C5437B3"/>
    <w:rsid w:val="6CFBA927"/>
    <w:rsid w:val="6DF1224F"/>
    <w:rsid w:val="6EAE7261"/>
    <w:rsid w:val="6EE9014B"/>
    <w:rsid w:val="6F763B92"/>
    <w:rsid w:val="6F9BE7CC"/>
    <w:rsid w:val="6FBBA249"/>
    <w:rsid w:val="7111712C"/>
    <w:rsid w:val="7260229C"/>
    <w:rsid w:val="729205B9"/>
    <w:rsid w:val="72FF63A9"/>
    <w:rsid w:val="739F731B"/>
    <w:rsid w:val="73EE78D6"/>
    <w:rsid w:val="741C1DD4"/>
    <w:rsid w:val="742F5467"/>
    <w:rsid w:val="75AC2A8F"/>
    <w:rsid w:val="75CB6A10"/>
    <w:rsid w:val="761966CD"/>
    <w:rsid w:val="762E0023"/>
    <w:rsid w:val="7640292A"/>
    <w:rsid w:val="76943E2F"/>
    <w:rsid w:val="76CF3EC0"/>
    <w:rsid w:val="76FB034E"/>
    <w:rsid w:val="76FB2B4F"/>
    <w:rsid w:val="77336FA3"/>
    <w:rsid w:val="777E04C5"/>
    <w:rsid w:val="77BB8473"/>
    <w:rsid w:val="77DD5067"/>
    <w:rsid w:val="77EFCDB4"/>
    <w:rsid w:val="7853BA4D"/>
    <w:rsid w:val="78551E5B"/>
    <w:rsid w:val="787D6F96"/>
    <w:rsid w:val="787DEBC8"/>
    <w:rsid w:val="7895130D"/>
    <w:rsid w:val="78AA642F"/>
    <w:rsid w:val="790B4D70"/>
    <w:rsid w:val="792B4D76"/>
    <w:rsid w:val="798640F8"/>
    <w:rsid w:val="7AFC248A"/>
    <w:rsid w:val="7BB7FA7D"/>
    <w:rsid w:val="7BEE657F"/>
    <w:rsid w:val="7CAE86C2"/>
    <w:rsid w:val="7CF64D77"/>
    <w:rsid w:val="7CFD6B88"/>
    <w:rsid w:val="7D3172B9"/>
    <w:rsid w:val="7D7F72A7"/>
    <w:rsid w:val="7D817DB9"/>
    <w:rsid w:val="7DFA4B07"/>
    <w:rsid w:val="7E064C5A"/>
    <w:rsid w:val="7E10795E"/>
    <w:rsid w:val="7E7F455E"/>
    <w:rsid w:val="7E825E0A"/>
    <w:rsid w:val="7EE73644"/>
    <w:rsid w:val="7EF3FCEE"/>
    <w:rsid w:val="7EF53EE8"/>
    <w:rsid w:val="7F39B59F"/>
    <w:rsid w:val="7F53BE86"/>
    <w:rsid w:val="7FDDE120"/>
    <w:rsid w:val="7FDFE29C"/>
    <w:rsid w:val="884D1D8A"/>
    <w:rsid w:val="93F70B37"/>
    <w:rsid w:val="944FF80D"/>
    <w:rsid w:val="A9EFCACD"/>
    <w:rsid w:val="AFA58B40"/>
    <w:rsid w:val="B76BF9F1"/>
    <w:rsid w:val="B7CEB256"/>
    <w:rsid w:val="B9FF7AC4"/>
    <w:rsid w:val="BEFFF0A6"/>
    <w:rsid w:val="BF7F1E2E"/>
    <w:rsid w:val="BFDDD42B"/>
    <w:rsid w:val="BFF42E27"/>
    <w:rsid w:val="BFFF65D6"/>
    <w:rsid w:val="CBBE7529"/>
    <w:rsid w:val="CFFDF06E"/>
    <w:rsid w:val="D1DB252C"/>
    <w:rsid w:val="D3FF2514"/>
    <w:rsid w:val="D7BF0F08"/>
    <w:rsid w:val="DBFF52D6"/>
    <w:rsid w:val="DE77A268"/>
    <w:rsid w:val="DEBBAE9B"/>
    <w:rsid w:val="DEDFFF6D"/>
    <w:rsid w:val="DEFBD73D"/>
    <w:rsid w:val="DFB7FE48"/>
    <w:rsid w:val="DFBF54D6"/>
    <w:rsid w:val="DFDFEB2E"/>
    <w:rsid w:val="DFFB4438"/>
    <w:rsid w:val="DFFF79A9"/>
    <w:rsid w:val="E338B6A0"/>
    <w:rsid w:val="E3FE509B"/>
    <w:rsid w:val="EBEEB37C"/>
    <w:rsid w:val="EDE971F9"/>
    <w:rsid w:val="EE9ED198"/>
    <w:rsid w:val="EEBB63EC"/>
    <w:rsid w:val="EF750D0A"/>
    <w:rsid w:val="EFE3E685"/>
    <w:rsid w:val="EFFF4C1F"/>
    <w:rsid w:val="F2EC835C"/>
    <w:rsid w:val="F4EE4E47"/>
    <w:rsid w:val="F5F50F10"/>
    <w:rsid w:val="F6BD89AD"/>
    <w:rsid w:val="F6FE81FB"/>
    <w:rsid w:val="F77015F6"/>
    <w:rsid w:val="F77A78F1"/>
    <w:rsid w:val="F7F3068C"/>
    <w:rsid w:val="F9F9C049"/>
    <w:rsid w:val="FAF7C9AF"/>
    <w:rsid w:val="FBCA3BAD"/>
    <w:rsid w:val="FBE17479"/>
    <w:rsid w:val="FCD74B56"/>
    <w:rsid w:val="FD3D619D"/>
    <w:rsid w:val="FD73C538"/>
    <w:rsid w:val="FDFBD45D"/>
    <w:rsid w:val="FDFF9E4C"/>
    <w:rsid w:val="FED77716"/>
    <w:rsid w:val="FEFDE1CF"/>
    <w:rsid w:val="FFAB3661"/>
    <w:rsid w:val="FFAB7788"/>
    <w:rsid w:val="FFAF74D8"/>
    <w:rsid w:val="FFDB1050"/>
    <w:rsid w:val="FFDD241B"/>
    <w:rsid w:val="FFDE3961"/>
    <w:rsid w:val="FFE1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4">
    <w:name w:val="Normal Indent"/>
    <w:basedOn w:val="1"/>
    <w:qFormat/>
    <w:uiPriority w:val="0"/>
    <w:pPr>
      <w:ind w:firstLine="420" w:firstLineChars="200"/>
    </w:pPr>
    <w:rPr>
      <w:szCs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rPr>
      <w:rFonts w:ascii="仿宋_GB2312" w:eastAsia="仿宋_GB2312"/>
      <w:b/>
      <w:bCs/>
      <w:spacing w:val="20"/>
      <w:sz w:val="2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qFormat/>
    <w:uiPriority w:val="0"/>
    <w:pPr>
      <w:spacing w:after="120"/>
      <w:ind w:firstLine="420" w:firstLineChars="100"/>
    </w:pPr>
    <w:rPr>
      <w:rFonts w:ascii="Times New Roman" w:eastAsia="宋体"/>
      <w:sz w:val="21"/>
      <w:szCs w:val="24"/>
    </w:r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2022-04-17T11:08:00Z</dcterms:created>
  <dc:creator>庄雪梅</dc:creator>
  <cp:lastModifiedBy>huawei</cp:lastModifiedBy>
  <dcterms:modified xsi:type="dcterms:W3CDTF">2025-09-05T18:04:58Z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2AEE44543E3AF5EF8D3BBA685984A067</vt:lpwstr>
  </property>
</Properties>
</file>