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r>
        <w:rPr>
          <w:rFonts w:hint="eastAsia" w:ascii="黑体" w:hAnsi="黑体" w:eastAsia="黑体" w:cs="黑体"/>
          <w:color w:val="auto"/>
          <w:kern w:val="2"/>
          <w:sz w:val="32"/>
          <w:szCs w:val="32"/>
          <w:u w:val="none"/>
          <w:lang w:val="en-US" w:eastAsia="zh-CN" w:bidi="ar-SA"/>
        </w:rPr>
        <w:t>附件4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符合国家法规政策关于诚信管理的要求，至投标截止时间，未有在“信用中国”网(www.creditchina.gov.cn)、中国政府采购网(www.ccgp.gov.cn)、深圳市政府采购监管网(zfcg.sz.gov.cn)等官网中列入“失信被执行人、重大税收违法失信主体、政府采购严重违法失信行为记录名单”等相关信息，以响应期内查询结果为准;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3C76"/>
    <w:rsid w:val="00F93C76"/>
    <w:rsid w:val="30FA3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Office_11.8.2.11978_F1E327BC-269C-435d-A152-05C5408002CA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2025-12-08T06:53:00Z</dcterms:created>
  <dc:creator>刘玉婷</dc:creator>
  <cp:lastModifiedBy>刘玉婷</cp:lastModifiedBy>
  <dcterms:modified xsi:type="dcterms:W3CDTF">2025-12-08T12:40:38Z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2052-11.8.2.11978</vt:lpwstr>
  </property>
  <property fmtid="{D5CDD505-2E9C-101B-9397-08002B2CF9AE}" pid="3" name="ICV">
    <vt:lpwstr>73B96676E8AA4018B51E406C1ABF8FA2</vt:lpwstr>
  </property>
</Properties>
</file>