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91EF2">
      <w:pPr>
        <w:pStyle w:val="9"/>
        <w:ind w:left="0" w:leftChars="0"/>
        <w:jc w:val="both"/>
        <w:rPr>
          <w:sz w:val="44"/>
          <w:szCs w:val="44"/>
        </w:rPr>
      </w:pPr>
    </w:p>
    <w:p w14:paraId="3C8E0D4D">
      <w:pPr>
        <w:pStyle w:val="9"/>
        <w:ind w:left="0" w:leftChars="0"/>
        <w:rPr>
          <w:sz w:val="44"/>
          <w:szCs w:val="44"/>
        </w:rPr>
      </w:pPr>
    </w:p>
    <w:p w14:paraId="2D2FA982">
      <w:pPr>
        <w:spacing w:before="0" w:beforeLines="0" w:after="0" w:afterLines="0"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深圳市福田区卫生和计划生育</w:t>
      </w:r>
    </w:p>
    <w:p w14:paraId="6D731C1D">
      <w:pPr>
        <w:spacing w:before="0" w:beforeLines="0" w:after="0" w:afterLines="0"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事业发展“十三五”规划</w:t>
      </w:r>
    </w:p>
    <w:p w14:paraId="4B98C4AA">
      <w:pPr>
        <w:spacing w:before="0" w:beforeLines="0" w:after="0" w:afterLines="0"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（2016-2020）</w:t>
      </w:r>
    </w:p>
    <w:p w14:paraId="5D9695D1">
      <w:pPr>
        <w:pStyle w:val="9"/>
        <w:ind w:left="0" w:leftChars="0"/>
        <w:rPr>
          <w:sz w:val="44"/>
          <w:szCs w:val="44"/>
        </w:rPr>
      </w:pPr>
    </w:p>
    <w:p w14:paraId="7D1CDED7">
      <w:pPr>
        <w:pStyle w:val="9"/>
        <w:ind w:left="0" w:leftChars="0"/>
        <w:rPr>
          <w:sz w:val="44"/>
          <w:szCs w:val="44"/>
        </w:rPr>
      </w:pPr>
    </w:p>
    <w:p w14:paraId="1055ED69">
      <w:pPr>
        <w:pStyle w:val="9"/>
        <w:ind w:left="0" w:leftChars="0"/>
        <w:rPr>
          <w:sz w:val="44"/>
          <w:szCs w:val="44"/>
        </w:rPr>
      </w:pPr>
    </w:p>
    <w:p w14:paraId="409F237D">
      <w:pPr>
        <w:pStyle w:val="9"/>
        <w:ind w:left="0" w:leftChars="0"/>
        <w:rPr>
          <w:sz w:val="44"/>
          <w:szCs w:val="44"/>
        </w:rPr>
      </w:pPr>
    </w:p>
    <w:p w14:paraId="3DCC4615">
      <w:pPr>
        <w:pStyle w:val="9"/>
        <w:ind w:left="0" w:leftChars="0"/>
        <w:rPr>
          <w:sz w:val="44"/>
          <w:szCs w:val="44"/>
        </w:rPr>
      </w:pPr>
    </w:p>
    <w:p w14:paraId="62A46616">
      <w:pPr>
        <w:pStyle w:val="9"/>
        <w:ind w:left="0" w:leftChars="0"/>
        <w:rPr>
          <w:sz w:val="44"/>
          <w:szCs w:val="44"/>
        </w:rPr>
      </w:pPr>
    </w:p>
    <w:p w14:paraId="26F66B14">
      <w:pPr>
        <w:pStyle w:val="9"/>
        <w:ind w:left="0" w:leftChars="0"/>
        <w:rPr>
          <w:sz w:val="44"/>
          <w:szCs w:val="44"/>
        </w:rPr>
      </w:pPr>
    </w:p>
    <w:p w14:paraId="4D568FEC">
      <w:pPr>
        <w:pStyle w:val="9"/>
        <w:ind w:left="0" w:leftChars="0"/>
        <w:rPr>
          <w:sz w:val="44"/>
          <w:szCs w:val="44"/>
        </w:rPr>
        <w:sectPr>
          <w:headerReference r:id="rId7" w:type="first"/>
          <w:footerReference r:id="rId10" w:type="first"/>
          <w:headerReference r:id="rId5" w:type="default"/>
          <w:footerReference r:id="rId8" w:type="default"/>
          <w:headerReference r:id="rId6" w:type="even"/>
          <w:footerReference r:id="rId9" w:type="even"/>
          <w:footnotePr>
            <w:numRestart w:val="eachPage"/>
          </w:footnotePr>
          <w:pgSz w:w="11906" w:h="16838"/>
          <w:pgMar w:top="2098" w:right="1474" w:bottom="1814" w:left="1588" w:header="737" w:footer="680" w:gutter="0"/>
          <w:pgNumType w:fmt="numberInDash" w:start="1"/>
          <w:cols w:space="720" w:num="1"/>
          <w:docGrid w:type="lines" w:linePitch="326" w:charSpace="0"/>
        </w:sectPr>
      </w:pPr>
    </w:p>
    <w:p w14:paraId="0A0A8D41">
      <w:pPr>
        <w:spacing w:before="0" w:beforeLines="0" w:after="0" w:afterLines="0"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深圳市福田区卫生和计划生育</w:t>
      </w:r>
    </w:p>
    <w:p w14:paraId="52482580">
      <w:pPr>
        <w:spacing w:before="0" w:beforeLines="0" w:after="0" w:afterLines="0"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事业发展“十三五”规划</w:t>
      </w:r>
    </w:p>
    <w:p w14:paraId="3B8B8138">
      <w:pPr>
        <w:spacing w:before="0" w:beforeLines="0" w:after="0" w:afterLines="0"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（2016-2020）</w:t>
      </w:r>
    </w:p>
    <w:p w14:paraId="26E09C0C">
      <w:pPr>
        <w:spacing w:before="0" w:beforeLines="0" w:after="0" w:afterLines="0" w:line="560" w:lineRule="exact"/>
        <w:jc w:val="center"/>
        <w:rPr>
          <w:rFonts w:ascii="方正小标宋_GBK" w:hAnsi="方正小标宋_GBK" w:eastAsia="方正小标宋_GBK" w:cs="方正小标宋_GBK"/>
          <w:sz w:val="44"/>
          <w:szCs w:val="44"/>
        </w:rPr>
      </w:pPr>
    </w:p>
    <w:p w14:paraId="3234C8AD">
      <w:pPr>
        <w:spacing w:before="0" w:beforeLines="0" w:after="0" w:afterLines="0" w:line="560" w:lineRule="exact"/>
        <w:ind w:firstLine="640" w:firstLineChars="200"/>
        <w:rPr>
          <w:rFonts w:hAnsi="仿宋_GB2312" w:cs="仿宋_GB2312"/>
          <w:sz w:val="32"/>
          <w:szCs w:val="32"/>
        </w:rPr>
      </w:pPr>
      <w:r>
        <w:rPr>
          <w:rFonts w:hint="eastAsia" w:hAnsi="仿宋_GB2312" w:cs="仿宋_GB2312"/>
          <w:sz w:val="32"/>
          <w:szCs w:val="32"/>
        </w:rPr>
        <w:t>“十三五”（2016-2020）期间，是推进福田区卫生和计划生育事业向纵深跨越发展的重要时期，是打造“首善之区，幸福福田”、“卫生强区，健康城区”</w:t>
      </w:r>
      <w:r>
        <w:rPr>
          <w:rFonts w:hint="eastAsia" w:hAnsi="仿宋_GB2312" w:cs="仿宋_GB2312"/>
          <w:sz w:val="32"/>
          <w:szCs w:val="32"/>
          <w:lang w:eastAsia="zh-CN"/>
        </w:rPr>
        <w:t>和</w:t>
      </w:r>
      <w:r>
        <w:rPr>
          <w:rFonts w:hint="eastAsia" w:hAnsi="仿宋_GB2312" w:cs="仿宋_GB2312"/>
          <w:sz w:val="32"/>
          <w:szCs w:val="32"/>
        </w:rPr>
        <w:t>建设一流国际化中心城区的关键时期。为适应新常态，把握新要求，抢抓新机遇，满足人</w:t>
      </w:r>
      <w:r>
        <w:rPr>
          <w:rFonts w:hint="eastAsia" w:hAnsi="仿宋_GB2312" w:cs="仿宋_GB2312"/>
          <w:sz w:val="32"/>
          <w:szCs w:val="32"/>
          <w:lang w:val="en-US" w:eastAsia="zh-CN"/>
        </w:rPr>
        <w:t>民</w:t>
      </w:r>
      <w:r>
        <w:rPr>
          <w:rFonts w:hint="eastAsia" w:hAnsi="仿宋_GB2312" w:cs="仿宋_GB2312"/>
          <w:sz w:val="32"/>
          <w:szCs w:val="32"/>
        </w:rPr>
        <w:t>群众不断增长的健康需求，根据相关政策文件精神，结合福田区卫生和计划生育事业实际，制定本规划。</w:t>
      </w:r>
    </w:p>
    <w:p w14:paraId="1202E751">
      <w:pPr>
        <w:spacing w:before="163" w:after="163" w:line="560" w:lineRule="exact"/>
        <w:jc w:val="center"/>
        <w:rPr>
          <w:rFonts w:ascii="方正小标宋_GBK" w:hAnsi="方正小标宋_GBK" w:eastAsia="方正小标宋_GBK" w:cs="方正小标宋_GBK"/>
          <w:bCs/>
          <w:sz w:val="32"/>
          <w:szCs w:val="32"/>
        </w:rPr>
      </w:pPr>
      <w:bookmarkStart w:id="0" w:name="_Toc443405987"/>
      <w:r>
        <w:rPr>
          <w:rFonts w:hint="eastAsia" w:ascii="方正小标宋_GBK" w:hAnsi="方正小标宋_GBK" w:eastAsia="方正小标宋_GBK" w:cs="方正小标宋_GBK"/>
          <w:bCs/>
          <w:sz w:val="32"/>
          <w:szCs w:val="32"/>
        </w:rPr>
        <w:t>第一章  发展形势和环境</w:t>
      </w:r>
      <w:bookmarkEnd w:id="0"/>
    </w:p>
    <w:p w14:paraId="70D068D1">
      <w:pPr>
        <w:spacing w:before="0" w:beforeLines="0" w:after="0" w:afterLines="0" w:line="560" w:lineRule="exact"/>
        <w:ind w:firstLine="640" w:firstLineChars="200"/>
        <w:rPr>
          <w:rFonts w:ascii="黑体" w:hAnsi="黑体" w:eastAsia="黑体" w:cs="仿宋_GB2312"/>
          <w:sz w:val="32"/>
          <w:szCs w:val="32"/>
        </w:rPr>
      </w:pPr>
      <w:bookmarkStart w:id="1" w:name="_Toc443405988"/>
      <w:bookmarkStart w:id="2" w:name="_Toc424340818"/>
      <w:r>
        <w:rPr>
          <w:rFonts w:hint="eastAsia" w:ascii="黑体" w:hAnsi="黑体" w:eastAsia="黑体"/>
          <w:sz w:val="32"/>
          <w:szCs w:val="32"/>
        </w:rPr>
        <w:t>一、福田辖区基本情况</w:t>
      </w:r>
      <w:bookmarkEnd w:id="1"/>
      <w:bookmarkEnd w:id="2"/>
    </w:p>
    <w:p w14:paraId="155BA318">
      <w:pPr>
        <w:spacing w:before="0" w:beforeLines="0" w:after="0" w:afterLines="0" w:line="560" w:lineRule="exact"/>
        <w:ind w:firstLine="640" w:firstLineChars="200"/>
        <w:rPr>
          <w:rFonts w:hAnsi="仿宋_GB2312" w:cs="仿宋_GB2312"/>
          <w:strike/>
          <w:sz w:val="32"/>
          <w:szCs w:val="32"/>
        </w:rPr>
      </w:pPr>
      <w:r>
        <w:rPr>
          <w:rFonts w:hint="eastAsia" w:hAnsi="仿宋_GB2312" w:cs="仿宋_GB2312"/>
          <w:sz w:val="32"/>
          <w:szCs w:val="32"/>
        </w:rPr>
        <w:t>福田区位于深圳经济特区中部，是深圳市中心城区，下辖园岭、南园、福田、沙头、梅林、华富、香蜜湖、莲花、华强北和福保共10个街道办事处，全区面积78.04平方公里。截止2015年底，全区人口144.06万人，其中户籍人口89.01万人，占比61.8%；非户籍人口55.05万人，全区人口密度为1.78万人/平方公里。</w:t>
      </w:r>
    </w:p>
    <w:p w14:paraId="07BBB003">
      <w:pPr>
        <w:spacing w:before="0" w:beforeLines="0" w:after="0" w:afterLines="0" w:line="560" w:lineRule="exact"/>
        <w:ind w:firstLine="640" w:firstLineChars="200"/>
        <w:rPr>
          <w:rFonts w:ascii="黑体" w:hAnsi="黑体" w:eastAsia="黑体"/>
          <w:sz w:val="32"/>
          <w:szCs w:val="32"/>
        </w:rPr>
      </w:pPr>
      <w:bookmarkStart w:id="3" w:name="_Toc424340819"/>
      <w:bookmarkStart w:id="4" w:name="_Toc443405989"/>
      <w:r>
        <w:rPr>
          <w:rFonts w:hint="eastAsia" w:ascii="黑体" w:hAnsi="黑体" w:eastAsia="黑体"/>
          <w:sz w:val="32"/>
          <w:szCs w:val="32"/>
        </w:rPr>
        <w:t>二、</w:t>
      </w:r>
      <w:bookmarkEnd w:id="3"/>
      <w:r>
        <w:rPr>
          <w:rFonts w:hint="eastAsia" w:ascii="黑体" w:hAnsi="黑体" w:eastAsia="黑体"/>
          <w:sz w:val="32"/>
          <w:szCs w:val="32"/>
        </w:rPr>
        <w:t>“十三五”卫生和计生事业发展工作基础</w:t>
      </w:r>
      <w:bookmarkEnd w:id="4"/>
    </w:p>
    <w:p w14:paraId="147AAF94">
      <w:pPr>
        <w:spacing w:before="0" w:beforeLines="0" w:after="0" w:afterLines="0" w:line="560" w:lineRule="exact"/>
        <w:ind w:firstLine="640" w:firstLineChars="200"/>
        <w:rPr>
          <w:rFonts w:hAnsi="仿宋_GB2312" w:cs="仿宋_GB2312"/>
          <w:sz w:val="32"/>
          <w:szCs w:val="32"/>
        </w:rPr>
      </w:pPr>
      <w:r>
        <w:rPr>
          <w:rFonts w:hint="eastAsia" w:hAnsi="仿宋_GB2312" w:cs="仿宋_GB2312"/>
          <w:sz w:val="32"/>
          <w:szCs w:val="32"/>
        </w:rPr>
        <w:t>“十二五”期间，卫生和计划生育事业发展“十二五”规划确定的主要目标和任务基本完成，人民健康水平显著提高。截止2015年底，孕产妇死亡率下降至0/10万，婴儿死亡率下降到1.</w:t>
      </w:r>
      <w:r>
        <w:rPr>
          <w:rFonts w:hint="eastAsia" w:hAnsi="仿宋_GB2312" w:cs="仿宋_GB2312"/>
          <w:sz w:val="32"/>
          <w:szCs w:val="32"/>
          <w:lang w:val="en-US" w:eastAsia="zh-CN"/>
        </w:rPr>
        <w:t>50</w:t>
      </w:r>
      <w:r>
        <w:rPr>
          <w:rFonts w:hint="eastAsia" w:hAnsi="仿宋_GB2312" w:cs="仿宋_GB2312"/>
          <w:sz w:val="32"/>
          <w:szCs w:val="32"/>
        </w:rPr>
        <w:t>‰，5岁以下儿童死亡率下降到</w:t>
      </w:r>
      <w:r>
        <w:rPr>
          <w:rFonts w:hint="eastAsia" w:hAnsi="仿宋_GB2312" w:cs="仿宋_GB2312"/>
          <w:sz w:val="32"/>
          <w:szCs w:val="32"/>
          <w:lang w:val="en-US" w:eastAsia="zh-CN"/>
        </w:rPr>
        <w:t>2.15</w:t>
      </w:r>
      <w:r>
        <w:rPr>
          <w:rFonts w:hint="eastAsia" w:hAnsi="仿宋_GB2312" w:cs="仿宋_GB2312"/>
          <w:sz w:val="32"/>
          <w:szCs w:val="32"/>
        </w:rPr>
        <w:t>‰，主要健康指标位于我国主要城市前列。政策生育率</w:t>
      </w:r>
      <w:r>
        <w:rPr>
          <w:rFonts w:hint="eastAsia" w:hAnsi="仿宋_GB2312" w:cs="仿宋_GB2312"/>
          <w:sz w:val="32"/>
          <w:szCs w:val="32"/>
          <w:lang w:val="en-US" w:eastAsia="zh-CN"/>
        </w:rPr>
        <w:t>86.9</w:t>
      </w:r>
      <w:r>
        <w:rPr>
          <w:rFonts w:hint="eastAsia" w:hAnsi="仿宋_GB2312" w:cs="仿宋_GB2312"/>
          <w:sz w:val="32"/>
          <w:szCs w:val="32"/>
        </w:rPr>
        <w:t>%，出生率</w:t>
      </w:r>
      <w:r>
        <w:rPr>
          <w:rFonts w:hint="eastAsia" w:hAnsi="仿宋_GB2312" w:cs="仿宋_GB2312"/>
          <w:sz w:val="32"/>
          <w:szCs w:val="32"/>
          <w:lang w:val="en-US" w:eastAsia="zh-CN"/>
        </w:rPr>
        <w:t>13.52</w:t>
      </w:r>
      <w:r>
        <w:rPr>
          <w:rFonts w:hint="eastAsia" w:hAnsi="仿宋_GB2312" w:cs="仿宋_GB2312"/>
          <w:sz w:val="32"/>
          <w:szCs w:val="32"/>
        </w:rPr>
        <w:t>‰，维持在低出生率水平。</w:t>
      </w:r>
    </w:p>
    <w:p w14:paraId="7E37FF59">
      <w:pPr>
        <w:spacing w:before="0" w:beforeLines="0" w:after="0" w:afterLines="0" w:line="560" w:lineRule="exact"/>
        <w:ind w:firstLine="640" w:firstLineChars="200"/>
        <w:rPr>
          <w:rFonts w:ascii="楷体_GB2312" w:hAnsi="仿宋_GB2312" w:eastAsia="楷体_GB2312" w:cs="仿宋_GB2312"/>
          <w:b/>
          <w:sz w:val="32"/>
        </w:rPr>
      </w:pPr>
      <w:bookmarkStart w:id="5" w:name="_Toc443405990"/>
      <w:r>
        <w:rPr>
          <w:rFonts w:hint="eastAsia" w:ascii="楷体_GB2312" w:hAnsi="仿宋_GB2312" w:eastAsia="楷体_GB2312" w:cs="仿宋_GB2312"/>
          <w:b/>
          <w:sz w:val="32"/>
        </w:rPr>
        <w:t>（一）卫生资源和服务量稳步提升</w:t>
      </w:r>
      <w:bookmarkEnd w:id="5"/>
    </w:p>
    <w:p w14:paraId="3A40BE44">
      <w:pPr>
        <w:spacing w:before="0" w:beforeLines="0" w:after="0" w:afterLines="0" w:line="560" w:lineRule="exact"/>
        <w:ind w:firstLine="640" w:firstLineChars="200"/>
        <w:rPr>
          <w:rFonts w:hAnsi="仿宋_GB2312" w:cs="仿宋_GB2312"/>
          <w:sz w:val="32"/>
          <w:szCs w:val="32"/>
        </w:rPr>
      </w:pPr>
      <w:r>
        <w:rPr>
          <w:rFonts w:hint="eastAsia" w:hAnsi="仿宋_GB2312" w:cs="仿宋_GB2312"/>
          <w:sz w:val="32"/>
          <w:szCs w:val="32"/>
        </w:rPr>
        <w:t>区级医疗机构卫生资源和服务量小幅提升。执业医师总数由1050人增长至1141人，实际开放床位数由1103张增长至1371张。门急诊人次数由308.83万人次增至412.68万人次，其中区属社康中心门急诊人次数由140.90万人次增至206.2万人次，出院人次数由4.04万人次增至5.37万人次。</w:t>
      </w:r>
    </w:p>
    <w:p w14:paraId="02F694F9">
      <w:pPr>
        <w:spacing w:before="163" w:after="163" w:line="560" w:lineRule="exact"/>
        <w:jc w:val="left"/>
        <w:rPr>
          <w:rFonts w:ascii="方正小标宋_GBK" w:hAnsi="仿宋_GB2312" w:eastAsia="方正小标宋_GBK" w:cs="仿宋_GB2312"/>
          <w:sz w:val="28"/>
          <w:szCs w:val="32"/>
        </w:rPr>
      </w:pPr>
      <w:r>
        <w:rPr>
          <w:rFonts w:hint="eastAsia" w:ascii="方正小标宋_GBK" w:hAnsi="仿宋_GB2312" w:eastAsia="方正小标宋_GBK" w:cs="仿宋_GB2312"/>
          <w:sz w:val="28"/>
          <w:szCs w:val="32"/>
        </w:rPr>
        <w:t>表1     2011年至2015年区级医疗机构卫生资源及服务量变化</w:t>
      </w:r>
    </w:p>
    <w:tbl>
      <w:tblPr>
        <w:tblStyle w:val="10"/>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7"/>
        <w:gridCol w:w="992"/>
        <w:gridCol w:w="992"/>
        <w:gridCol w:w="975"/>
        <w:gridCol w:w="1010"/>
        <w:gridCol w:w="992"/>
        <w:gridCol w:w="850"/>
      </w:tblGrid>
      <w:tr w14:paraId="0778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137" w:type="dxa"/>
            <w:vAlign w:val="center"/>
          </w:tcPr>
          <w:p w14:paraId="492D914D">
            <w:pPr>
              <w:widowControl/>
              <w:spacing w:before="0" w:beforeLines="0" w:after="0" w:afterLines="0" w:line="400" w:lineRule="exact"/>
              <w:jc w:val="center"/>
              <w:rPr>
                <w:rFonts w:hAnsi="仿宋_GB2312" w:cs="仿宋_GB2312"/>
                <w:b/>
                <w:bCs/>
                <w:kern w:val="0"/>
                <w:sz w:val="21"/>
                <w:szCs w:val="21"/>
              </w:rPr>
            </w:pPr>
            <w:r>
              <w:rPr>
                <w:rFonts w:hint="eastAsia" w:hAnsi="仿宋_GB2312" w:cs="仿宋_GB2312"/>
                <w:b/>
                <w:bCs/>
                <w:kern w:val="0"/>
                <w:sz w:val="21"/>
                <w:szCs w:val="21"/>
              </w:rPr>
              <w:t>项目</w:t>
            </w:r>
          </w:p>
        </w:tc>
        <w:tc>
          <w:tcPr>
            <w:tcW w:w="992" w:type="dxa"/>
            <w:vAlign w:val="center"/>
          </w:tcPr>
          <w:p w14:paraId="3F3F6C8D">
            <w:pPr>
              <w:widowControl/>
              <w:spacing w:before="0" w:beforeLines="0" w:after="0" w:afterLines="0" w:line="400" w:lineRule="exact"/>
              <w:jc w:val="center"/>
              <w:rPr>
                <w:rFonts w:hAnsi="仿宋_GB2312" w:cs="仿宋_GB2312"/>
                <w:b/>
                <w:bCs/>
                <w:kern w:val="0"/>
                <w:sz w:val="21"/>
                <w:szCs w:val="21"/>
              </w:rPr>
            </w:pPr>
            <w:r>
              <w:rPr>
                <w:rFonts w:hint="eastAsia" w:hAnsi="仿宋_GB2312" w:cs="仿宋_GB2312"/>
                <w:b/>
                <w:bCs/>
                <w:kern w:val="0"/>
                <w:sz w:val="21"/>
                <w:szCs w:val="21"/>
              </w:rPr>
              <w:t>2011</w:t>
            </w:r>
          </w:p>
        </w:tc>
        <w:tc>
          <w:tcPr>
            <w:tcW w:w="992" w:type="dxa"/>
            <w:vAlign w:val="center"/>
          </w:tcPr>
          <w:p w14:paraId="52375D87">
            <w:pPr>
              <w:widowControl/>
              <w:spacing w:before="0" w:beforeLines="0" w:after="0" w:afterLines="0" w:line="400" w:lineRule="exact"/>
              <w:jc w:val="center"/>
              <w:rPr>
                <w:rFonts w:hAnsi="仿宋_GB2312" w:cs="仿宋_GB2312"/>
                <w:b/>
                <w:bCs/>
                <w:kern w:val="0"/>
                <w:sz w:val="21"/>
                <w:szCs w:val="21"/>
              </w:rPr>
            </w:pPr>
            <w:r>
              <w:rPr>
                <w:rFonts w:hint="eastAsia" w:hAnsi="仿宋_GB2312" w:cs="仿宋_GB2312"/>
                <w:b/>
                <w:bCs/>
                <w:kern w:val="0"/>
                <w:sz w:val="21"/>
                <w:szCs w:val="21"/>
              </w:rPr>
              <w:t>2012</w:t>
            </w:r>
          </w:p>
        </w:tc>
        <w:tc>
          <w:tcPr>
            <w:tcW w:w="975" w:type="dxa"/>
            <w:vAlign w:val="center"/>
          </w:tcPr>
          <w:p w14:paraId="0F8EFC84">
            <w:pPr>
              <w:widowControl/>
              <w:spacing w:before="0" w:beforeLines="0" w:after="0" w:afterLines="0" w:line="400" w:lineRule="exact"/>
              <w:jc w:val="center"/>
              <w:rPr>
                <w:rFonts w:hAnsi="仿宋_GB2312" w:cs="仿宋_GB2312"/>
                <w:b/>
                <w:bCs/>
                <w:kern w:val="0"/>
                <w:sz w:val="21"/>
                <w:szCs w:val="21"/>
              </w:rPr>
            </w:pPr>
            <w:r>
              <w:rPr>
                <w:rFonts w:hint="eastAsia" w:hAnsi="仿宋_GB2312" w:cs="仿宋_GB2312"/>
                <w:b/>
                <w:bCs/>
                <w:kern w:val="0"/>
                <w:sz w:val="21"/>
                <w:szCs w:val="21"/>
              </w:rPr>
              <w:t>2013</w:t>
            </w:r>
          </w:p>
        </w:tc>
        <w:tc>
          <w:tcPr>
            <w:tcW w:w="1010" w:type="dxa"/>
            <w:vAlign w:val="center"/>
          </w:tcPr>
          <w:p w14:paraId="12CA369E">
            <w:pPr>
              <w:widowControl/>
              <w:spacing w:before="0" w:beforeLines="0" w:after="0" w:afterLines="0" w:line="400" w:lineRule="exact"/>
              <w:jc w:val="center"/>
              <w:rPr>
                <w:rFonts w:hAnsi="仿宋_GB2312" w:cs="仿宋_GB2312"/>
                <w:b/>
                <w:bCs/>
                <w:kern w:val="0"/>
                <w:sz w:val="21"/>
                <w:szCs w:val="21"/>
              </w:rPr>
            </w:pPr>
            <w:r>
              <w:rPr>
                <w:rFonts w:hint="eastAsia" w:hAnsi="仿宋_GB2312" w:cs="仿宋_GB2312"/>
                <w:b/>
                <w:bCs/>
                <w:kern w:val="0"/>
                <w:sz w:val="21"/>
                <w:szCs w:val="21"/>
              </w:rPr>
              <w:t>2014</w:t>
            </w:r>
          </w:p>
        </w:tc>
        <w:tc>
          <w:tcPr>
            <w:tcW w:w="992" w:type="dxa"/>
            <w:vAlign w:val="center"/>
          </w:tcPr>
          <w:p w14:paraId="3D448415">
            <w:pPr>
              <w:widowControl/>
              <w:spacing w:before="0" w:beforeLines="0" w:after="0" w:afterLines="0" w:line="400" w:lineRule="exact"/>
              <w:jc w:val="center"/>
              <w:rPr>
                <w:rFonts w:hAnsi="仿宋_GB2312" w:cs="仿宋_GB2312"/>
                <w:b/>
                <w:bCs/>
                <w:kern w:val="0"/>
                <w:sz w:val="21"/>
                <w:szCs w:val="21"/>
              </w:rPr>
            </w:pPr>
            <w:r>
              <w:rPr>
                <w:rFonts w:hint="eastAsia" w:hAnsi="仿宋_GB2312" w:cs="仿宋_GB2312"/>
                <w:b/>
                <w:bCs/>
                <w:kern w:val="0"/>
                <w:sz w:val="21"/>
                <w:szCs w:val="21"/>
              </w:rPr>
              <w:t>2015</w:t>
            </w:r>
          </w:p>
        </w:tc>
        <w:tc>
          <w:tcPr>
            <w:tcW w:w="850" w:type="dxa"/>
            <w:vAlign w:val="center"/>
          </w:tcPr>
          <w:p w14:paraId="6D641516">
            <w:pPr>
              <w:widowControl/>
              <w:spacing w:before="0" w:beforeLines="0" w:after="0" w:afterLines="0" w:line="400" w:lineRule="exact"/>
              <w:jc w:val="center"/>
              <w:rPr>
                <w:rFonts w:hAnsi="仿宋_GB2312" w:cs="仿宋_GB2312"/>
                <w:b/>
                <w:bCs/>
                <w:kern w:val="0"/>
                <w:sz w:val="21"/>
                <w:szCs w:val="21"/>
              </w:rPr>
            </w:pPr>
            <w:r>
              <w:rPr>
                <w:rFonts w:hint="eastAsia" w:hAnsi="仿宋_GB2312" w:cs="仿宋_GB2312"/>
                <w:b/>
                <w:bCs/>
                <w:kern w:val="0"/>
                <w:sz w:val="21"/>
                <w:szCs w:val="21"/>
              </w:rPr>
              <w:t>年增幅</w:t>
            </w:r>
          </w:p>
        </w:tc>
      </w:tr>
      <w:tr w14:paraId="2192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137" w:type="dxa"/>
            <w:vAlign w:val="center"/>
          </w:tcPr>
          <w:p w14:paraId="22EC5A15">
            <w:pPr>
              <w:widowControl/>
              <w:spacing w:before="0" w:beforeLines="0" w:after="0" w:afterLines="0" w:line="400" w:lineRule="exact"/>
              <w:jc w:val="left"/>
              <w:rPr>
                <w:rFonts w:hAnsi="仿宋_GB2312" w:cs="仿宋_GB2312"/>
                <w:kern w:val="0"/>
                <w:szCs w:val="21"/>
              </w:rPr>
            </w:pPr>
            <w:r>
              <w:rPr>
                <w:rFonts w:hint="eastAsia" w:hAnsi="仿宋_GB2312" w:cs="仿宋_GB2312"/>
                <w:kern w:val="0"/>
                <w:szCs w:val="21"/>
              </w:rPr>
              <w:t>执业医师总数（人）</w:t>
            </w:r>
          </w:p>
        </w:tc>
        <w:tc>
          <w:tcPr>
            <w:tcW w:w="992" w:type="dxa"/>
            <w:vAlign w:val="center"/>
          </w:tcPr>
          <w:p w14:paraId="43B781FA">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1050</w:t>
            </w:r>
          </w:p>
        </w:tc>
        <w:tc>
          <w:tcPr>
            <w:tcW w:w="992" w:type="dxa"/>
            <w:vAlign w:val="center"/>
          </w:tcPr>
          <w:p w14:paraId="300097D7">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996</w:t>
            </w:r>
          </w:p>
        </w:tc>
        <w:tc>
          <w:tcPr>
            <w:tcW w:w="975" w:type="dxa"/>
            <w:vAlign w:val="center"/>
          </w:tcPr>
          <w:p w14:paraId="527109BC">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1150</w:t>
            </w:r>
          </w:p>
        </w:tc>
        <w:tc>
          <w:tcPr>
            <w:tcW w:w="1010" w:type="dxa"/>
            <w:vAlign w:val="center"/>
          </w:tcPr>
          <w:p w14:paraId="0C3A55BA">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1118</w:t>
            </w:r>
          </w:p>
        </w:tc>
        <w:tc>
          <w:tcPr>
            <w:tcW w:w="992" w:type="dxa"/>
            <w:vAlign w:val="center"/>
          </w:tcPr>
          <w:p w14:paraId="11A26F0D">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1141</w:t>
            </w:r>
          </w:p>
        </w:tc>
        <w:tc>
          <w:tcPr>
            <w:tcW w:w="850" w:type="dxa"/>
            <w:vAlign w:val="center"/>
          </w:tcPr>
          <w:p w14:paraId="6F20ADCF">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w:t>
            </w:r>
          </w:p>
        </w:tc>
      </w:tr>
      <w:tr w14:paraId="3AA2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137" w:type="dxa"/>
            <w:vAlign w:val="center"/>
          </w:tcPr>
          <w:p w14:paraId="36EADAD4">
            <w:pPr>
              <w:widowControl/>
              <w:spacing w:before="0" w:beforeLines="0" w:after="0" w:afterLines="0" w:line="400" w:lineRule="exact"/>
              <w:jc w:val="left"/>
              <w:rPr>
                <w:rFonts w:hAnsi="仿宋_GB2312" w:cs="仿宋_GB2312"/>
                <w:kern w:val="0"/>
                <w:szCs w:val="21"/>
              </w:rPr>
            </w:pPr>
            <w:r>
              <w:rPr>
                <w:rFonts w:hint="eastAsia" w:hAnsi="仿宋_GB2312" w:cs="仿宋_GB2312"/>
                <w:kern w:val="0"/>
                <w:szCs w:val="21"/>
              </w:rPr>
              <w:t>实际开放床位数（床）</w:t>
            </w:r>
          </w:p>
        </w:tc>
        <w:tc>
          <w:tcPr>
            <w:tcW w:w="992" w:type="dxa"/>
            <w:vAlign w:val="center"/>
          </w:tcPr>
          <w:p w14:paraId="6C4C9126">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1103</w:t>
            </w:r>
          </w:p>
        </w:tc>
        <w:tc>
          <w:tcPr>
            <w:tcW w:w="992" w:type="dxa"/>
            <w:vAlign w:val="center"/>
          </w:tcPr>
          <w:p w14:paraId="0F3BA730">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1186</w:t>
            </w:r>
          </w:p>
        </w:tc>
        <w:tc>
          <w:tcPr>
            <w:tcW w:w="975" w:type="dxa"/>
            <w:vAlign w:val="center"/>
          </w:tcPr>
          <w:p w14:paraId="42BA37EB">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1186</w:t>
            </w:r>
          </w:p>
        </w:tc>
        <w:tc>
          <w:tcPr>
            <w:tcW w:w="1010" w:type="dxa"/>
            <w:vAlign w:val="center"/>
          </w:tcPr>
          <w:p w14:paraId="70D745D5">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1244</w:t>
            </w:r>
          </w:p>
        </w:tc>
        <w:tc>
          <w:tcPr>
            <w:tcW w:w="992" w:type="dxa"/>
            <w:vAlign w:val="center"/>
          </w:tcPr>
          <w:p w14:paraId="77445F5C">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1371</w:t>
            </w:r>
          </w:p>
        </w:tc>
        <w:tc>
          <w:tcPr>
            <w:tcW w:w="850" w:type="dxa"/>
            <w:vAlign w:val="center"/>
          </w:tcPr>
          <w:p w14:paraId="6E08CC13">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w:t>
            </w:r>
          </w:p>
        </w:tc>
      </w:tr>
      <w:tr w14:paraId="7FAF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3137" w:type="dxa"/>
            <w:vAlign w:val="center"/>
          </w:tcPr>
          <w:p w14:paraId="121CD5A5">
            <w:pPr>
              <w:widowControl/>
              <w:spacing w:before="0" w:beforeLines="0" w:after="0" w:afterLines="0" w:line="400" w:lineRule="exact"/>
              <w:jc w:val="left"/>
              <w:rPr>
                <w:rFonts w:hAnsi="仿宋_GB2312" w:cs="仿宋_GB2312"/>
                <w:kern w:val="0"/>
                <w:szCs w:val="21"/>
              </w:rPr>
            </w:pPr>
            <w:r>
              <w:rPr>
                <w:rFonts w:hint="eastAsia" w:hAnsi="仿宋_GB2312" w:cs="仿宋_GB2312"/>
                <w:kern w:val="0"/>
                <w:szCs w:val="21"/>
              </w:rPr>
              <w:t>区属5家医院门急诊人次数</w:t>
            </w:r>
          </w:p>
          <w:p w14:paraId="38E10E6A">
            <w:pPr>
              <w:widowControl/>
              <w:spacing w:before="0" w:beforeLines="0" w:after="0" w:afterLines="0" w:line="400" w:lineRule="exact"/>
              <w:jc w:val="left"/>
              <w:rPr>
                <w:rFonts w:hAnsi="仿宋_GB2312" w:cs="仿宋_GB2312"/>
                <w:kern w:val="0"/>
                <w:szCs w:val="21"/>
              </w:rPr>
            </w:pPr>
            <w:r>
              <w:rPr>
                <w:rFonts w:hint="eastAsia" w:hAnsi="仿宋_GB2312" w:cs="仿宋_GB2312"/>
                <w:kern w:val="0"/>
                <w:szCs w:val="21"/>
              </w:rPr>
              <w:t>（万人次）</w:t>
            </w:r>
          </w:p>
        </w:tc>
        <w:tc>
          <w:tcPr>
            <w:tcW w:w="992" w:type="dxa"/>
            <w:vAlign w:val="center"/>
          </w:tcPr>
          <w:p w14:paraId="5BB5B6E7">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308.83</w:t>
            </w:r>
          </w:p>
        </w:tc>
        <w:tc>
          <w:tcPr>
            <w:tcW w:w="992" w:type="dxa"/>
            <w:vAlign w:val="center"/>
          </w:tcPr>
          <w:p w14:paraId="2FCDCC81">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345.21</w:t>
            </w:r>
          </w:p>
        </w:tc>
        <w:tc>
          <w:tcPr>
            <w:tcW w:w="975" w:type="dxa"/>
            <w:vAlign w:val="center"/>
          </w:tcPr>
          <w:p w14:paraId="6C50E029">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385.30</w:t>
            </w:r>
          </w:p>
        </w:tc>
        <w:tc>
          <w:tcPr>
            <w:tcW w:w="1010" w:type="dxa"/>
            <w:vAlign w:val="center"/>
          </w:tcPr>
          <w:p w14:paraId="618EC8F4">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395.37</w:t>
            </w:r>
          </w:p>
        </w:tc>
        <w:tc>
          <w:tcPr>
            <w:tcW w:w="992" w:type="dxa"/>
            <w:vAlign w:val="center"/>
          </w:tcPr>
          <w:p w14:paraId="507EE920">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412.68</w:t>
            </w:r>
          </w:p>
        </w:tc>
        <w:tc>
          <w:tcPr>
            <w:tcW w:w="850" w:type="dxa"/>
            <w:vAlign w:val="center"/>
          </w:tcPr>
          <w:p w14:paraId="2D47B588">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7.52%</w:t>
            </w:r>
          </w:p>
        </w:tc>
      </w:tr>
      <w:tr w14:paraId="57DD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137" w:type="dxa"/>
            <w:vAlign w:val="center"/>
          </w:tcPr>
          <w:p w14:paraId="57157669">
            <w:pPr>
              <w:widowControl/>
              <w:spacing w:before="0" w:beforeLines="0" w:after="0" w:afterLines="0" w:line="400" w:lineRule="exact"/>
              <w:jc w:val="left"/>
              <w:rPr>
                <w:rFonts w:hAnsi="仿宋_GB2312" w:cs="仿宋_GB2312"/>
                <w:kern w:val="0"/>
                <w:szCs w:val="21"/>
              </w:rPr>
            </w:pPr>
            <w:r>
              <w:rPr>
                <w:rFonts w:hint="eastAsia" w:hAnsi="仿宋_GB2312" w:cs="仿宋_GB2312"/>
                <w:kern w:val="0"/>
                <w:szCs w:val="21"/>
              </w:rPr>
              <w:t>其中，区办社康中心人次数</w:t>
            </w:r>
          </w:p>
          <w:p w14:paraId="29819E84">
            <w:pPr>
              <w:widowControl/>
              <w:spacing w:before="0" w:beforeLines="0" w:after="0" w:afterLines="0" w:line="400" w:lineRule="exact"/>
              <w:jc w:val="left"/>
              <w:rPr>
                <w:rFonts w:hAnsi="仿宋_GB2312" w:cs="仿宋_GB2312"/>
                <w:kern w:val="0"/>
                <w:szCs w:val="21"/>
              </w:rPr>
            </w:pPr>
            <w:r>
              <w:rPr>
                <w:rFonts w:hint="eastAsia" w:hAnsi="仿宋_GB2312" w:cs="仿宋_GB2312"/>
                <w:kern w:val="0"/>
                <w:szCs w:val="21"/>
              </w:rPr>
              <w:t>（万人次）</w:t>
            </w:r>
          </w:p>
        </w:tc>
        <w:tc>
          <w:tcPr>
            <w:tcW w:w="992" w:type="dxa"/>
            <w:vAlign w:val="center"/>
          </w:tcPr>
          <w:p w14:paraId="6B6E0129">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140.9</w:t>
            </w:r>
          </w:p>
        </w:tc>
        <w:tc>
          <w:tcPr>
            <w:tcW w:w="992" w:type="dxa"/>
            <w:vAlign w:val="center"/>
          </w:tcPr>
          <w:p w14:paraId="79321F67">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168.14</w:t>
            </w:r>
          </w:p>
        </w:tc>
        <w:tc>
          <w:tcPr>
            <w:tcW w:w="975" w:type="dxa"/>
            <w:vAlign w:val="center"/>
          </w:tcPr>
          <w:p w14:paraId="7076C491">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205.52</w:t>
            </w:r>
          </w:p>
        </w:tc>
        <w:tc>
          <w:tcPr>
            <w:tcW w:w="1010" w:type="dxa"/>
            <w:vAlign w:val="center"/>
          </w:tcPr>
          <w:p w14:paraId="5EB80A86">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213.11</w:t>
            </w:r>
          </w:p>
        </w:tc>
        <w:tc>
          <w:tcPr>
            <w:tcW w:w="992" w:type="dxa"/>
            <w:vAlign w:val="center"/>
          </w:tcPr>
          <w:p w14:paraId="2F0A0C90">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206.2</w:t>
            </w:r>
          </w:p>
        </w:tc>
        <w:tc>
          <w:tcPr>
            <w:tcW w:w="850" w:type="dxa"/>
            <w:vAlign w:val="center"/>
          </w:tcPr>
          <w:p w14:paraId="63138628">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9.99%</w:t>
            </w:r>
          </w:p>
        </w:tc>
      </w:tr>
      <w:tr w14:paraId="4B0F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3137" w:type="dxa"/>
            <w:vAlign w:val="center"/>
          </w:tcPr>
          <w:p w14:paraId="3EC1D856">
            <w:pPr>
              <w:widowControl/>
              <w:spacing w:before="0" w:beforeLines="0" w:after="0" w:afterLines="0" w:line="400" w:lineRule="exact"/>
              <w:jc w:val="left"/>
              <w:rPr>
                <w:rFonts w:hAnsi="仿宋_GB2312" w:cs="仿宋_GB2312"/>
                <w:kern w:val="0"/>
                <w:szCs w:val="21"/>
              </w:rPr>
            </w:pPr>
            <w:r>
              <w:rPr>
                <w:rFonts w:hint="eastAsia" w:hAnsi="仿宋_GB2312" w:cs="仿宋_GB2312"/>
                <w:kern w:val="0"/>
                <w:szCs w:val="21"/>
              </w:rPr>
              <w:t>出院人次数（万人次）</w:t>
            </w:r>
          </w:p>
        </w:tc>
        <w:tc>
          <w:tcPr>
            <w:tcW w:w="992" w:type="dxa"/>
            <w:vAlign w:val="center"/>
          </w:tcPr>
          <w:p w14:paraId="6586BA79">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4.04</w:t>
            </w:r>
          </w:p>
        </w:tc>
        <w:tc>
          <w:tcPr>
            <w:tcW w:w="992" w:type="dxa"/>
            <w:vAlign w:val="center"/>
          </w:tcPr>
          <w:p w14:paraId="3C4654E8">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4.82</w:t>
            </w:r>
          </w:p>
        </w:tc>
        <w:tc>
          <w:tcPr>
            <w:tcW w:w="975" w:type="dxa"/>
            <w:vAlign w:val="center"/>
          </w:tcPr>
          <w:p w14:paraId="1B677D99">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5.06</w:t>
            </w:r>
          </w:p>
        </w:tc>
        <w:tc>
          <w:tcPr>
            <w:tcW w:w="1010" w:type="dxa"/>
            <w:vAlign w:val="center"/>
          </w:tcPr>
          <w:p w14:paraId="057D242E">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5.31</w:t>
            </w:r>
          </w:p>
        </w:tc>
        <w:tc>
          <w:tcPr>
            <w:tcW w:w="992" w:type="dxa"/>
            <w:vAlign w:val="center"/>
          </w:tcPr>
          <w:p w14:paraId="14F805B4">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5.37</w:t>
            </w:r>
          </w:p>
        </w:tc>
        <w:tc>
          <w:tcPr>
            <w:tcW w:w="850" w:type="dxa"/>
            <w:vAlign w:val="center"/>
          </w:tcPr>
          <w:p w14:paraId="3AD3FCC2">
            <w:pPr>
              <w:widowControl/>
              <w:spacing w:before="0" w:beforeLines="0" w:after="0" w:afterLines="0" w:line="400" w:lineRule="exact"/>
              <w:jc w:val="center"/>
              <w:rPr>
                <w:rFonts w:hAnsi="仿宋_GB2312" w:cs="仿宋_GB2312"/>
                <w:kern w:val="0"/>
                <w:szCs w:val="21"/>
              </w:rPr>
            </w:pPr>
            <w:r>
              <w:rPr>
                <w:rFonts w:hint="eastAsia" w:hAnsi="仿宋_GB2312" w:cs="仿宋_GB2312"/>
                <w:kern w:val="0"/>
                <w:szCs w:val="21"/>
              </w:rPr>
              <w:t>7.37%</w:t>
            </w:r>
          </w:p>
        </w:tc>
      </w:tr>
    </w:tbl>
    <w:p w14:paraId="675529C8">
      <w:pPr>
        <w:spacing w:before="0" w:beforeLines="0" w:after="0" w:afterLines="0" w:line="560" w:lineRule="exact"/>
        <w:rPr>
          <w:rFonts w:hAnsi="仿宋_GB2312" w:cs="仿宋_GB2312"/>
          <w:sz w:val="32"/>
          <w:szCs w:val="32"/>
        </w:rPr>
      </w:pPr>
      <w:r>
        <w:rPr>
          <w:rFonts w:hint="eastAsia" w:hAnsi="仿宋_GB2312" w:cs="仿宋_GB2312"/>
          <w:sz w:val="32"/>
          <w:szCs w:val="32"/>
        </w:rPr>
        <w:t xml:space="preserve">    医疗服务的效率和质量稳步提升。区属医院病床使用率由85.57%增至96.12%，出院者平均住院日由8.3天降至8.1天，病床周转次数由37.5次增至42.51次。每一诊疗人次平均费用168.39元</w:t>
      </w:r>
      <w:r>
        <w:rPr>
          <w:rFonts w:hint="eastAsia" w:hAnsi="仿宋_GB2312" w:cs="仿宋_GB2312"/>
          <w:sz w:val="32"/>
          <w:szCs w:val="32"/>
          <w:lang w:eastAsia="zh-CN"/>
        </w:rPr>
        <w:t>，</w:t>
      </w:r>
      <w:r>
        <w:rPr>
          <w:rFonts w:hint="eastAsia" w:hAnsi="仿宋_GB2312" w:cs="仿宋_GB2312"/>
          <w:sz w:val="32"/>
          <w:szCs w:val="32"/>
        </w:rPr>
        <w:t>每一出院病人平均住院费用为7160.79元。</w:t>
      </w:r>
    </w:p>
    <w:p w14:paraId="5D742E20">
      <w:pPr>
        <w:spacing w:before="0" w:beforeLines="0" w:after="0" w:afterLines="0" w:line="550" w:lineRule="exact"/>
        <w:ind w:firstLine="640" w:firstLineChars="200"/>
        <w:rPr>
          <w:rFonts w:ascii="楷体_GB2312" w:eastAsia="楷体_GB2312"/>
          <w:b/>
          <w:sz w:val="32"/>
          <w:szCs w:val="32"/>
        </w:rPr>
      </w:pPr>
      <w:bookmarkStart w:id="6" w:name="_Toc443405991"/>
      <w:bookmarkStart w:id="7" w:name="_Toc424340820"/>
      <w:r>
        <w:rPr>
          <w:rFonts w:hint="eastAsia" w:ascii="楷体_GB2312" w:eastAsia="楷体_GB2312"/>
          <w:b/>
          <w:sz w:val="32"/>
          <w:szCs w:val="32"/>
        </w:rPr>
        <w:t>（二）覆盖全区医疗卫生服务体系基本形成</w:t>
      </w:r>
      <w:bookmarkEnd w:id="6"/>
      <w:bookmarkEnd w:id="7"/>
    </w:p>
    <w:p w14:paraId="4DD6EF26">
      <w:pPr>
        <w:spacing w:before="0" w:beforeLines="0" w:after="0" w:afterLines="0" w:line="550" w:lineRule="exact"/>
        <w:ind w:firstLine="640" w:firstLineChars="200"/>
        <w:rPr>
          <w:strike/>
          <w:sz w:val="32"/>
          <w:szCs w:val="32"/>
        </w:rPr>
      </w:pPr>
      <w:r>
        <w:rPr>
          <w:rFonts w:hint="eastAsia"/>
          <w:sz w:val="32"/>
          <w:szCs w:val="32"/>
        </w:rPr>
        <w:t>在全市率先组建医疗联合体，推动分级诊疗体系建设。以区人民医院为牵头医院，建立由区属公立医院、社康中心和社会医疗机构组成的医疗联合体，建成无缝对接医疗服务网络，实现区属医疗资源的整体共享。建立覆盖全区的社康中心网络，以“1（区域性社康中心）+N（社康站）”为基本组团的新型社区卫生服务体系初步形成。根据社区分布和人口密度，现已建立6家区域性社康中心，区域辐射功能初步显现。积极开展社区各项中医药服务，不断满足基层群众对中医药服务的需求。2014年获“全国基层中医药工作先进单位”称号。医疗联合体与社康中心网络共同构成了覆盖全区的医疗卫生服务体系</w:t>
      </w:r>
      <w:r>
        <w:rPr>
          <w:rFonts w:hint="eastAsia"/>
          <w:sz w:val="32"/>
          <w:szCs w:val="32"/>
          <w:lang w:eastAsia="zh-CN"/>
        </w:rPr>
        <w:t>。</w:t>
      </w:r>
    </w:p>
    <w:p w14:paraId="4EB51339">
      <w:pPr>
        <w:spacing w:before="0" w:beforeLines="0" w:after="0" w:afterLines="0" w:line="550" w:lineRule="exact"/>
        <w:ind w:firstLine="640" w:firstLineChars="200"/>
        <w:rPr>
          <w:rFonts w:ascii="楷体_GB2312" w:eastAsia="楷体_GB2312"/>
          <w:b/>
          <w:sz w:val="32"/>
          <w:szCs w:val="32"/>
        </w:rPr>
      </w:pPr>
      <w:bookmarkStart w:id="8" w:name="_Toc443405992"/>
      <w:r>
        <w:rPr>
          <w:rFonts w:hint="eastAsia" w:ascii="楷体_GB2312" w:eastAsia="楷体_GB2312"/>
          <w:b/>
          <w:sz w:val="32"/>
          <w:szCs w:val="32"/>
        </w:rPr>
        <w:t>（三）基本公共卫生服务取得显著成效</w:t>
      </w:r>
      <w:bookmarkEnd w:id="8"/>
    </w:p>
    <w:p w14:paraId="4804B0EB">
      <w:pPr>
        <w:spacing w:before="0" w:beforeLines="0" w:after="0" w:afterLines="0" w:line="550" w:lineRule="exact"/>
        <w:ind w:firstLine="640" w:firstLineChars="200"/>
        <w:rPr>
          <w:sz w:val="32"/>
          <w:szCs w:val="32"/>
        </w:rPr>
      </w:pPr>
      <w:r>
        <w:rPr>
          <w:rFonts w:hint="eastAsia"/>
          <w:sz w:val="32"/>
          <w:szCs w:val="32"/>
        </w:rPr>
        <w:t>疾病预防与控制工作。以“科学预测、及时预警、有效预防”为思路，加强疾病控制、检验检测、应急处置三项能力建设，不断提升疾病防控技术水平，建立了具有现代先进水平的疾病预防控制体系，初步构建了以政府主导、医疗卫生单位为核心、多部门协作，全社会广泛参与的大疾控网络。甲类传染病维持无发病状态，重点乙、丙类传染病控制在散发状态。</w:t>
      </w:r>
    </w:p>
    <w:p w14:paraId="7FBE7C85">
      <w:pPr>
        <w:spacing w:before="0" w:beforeLines="0" w:after="0" w:afterLines="0" w:line="550" w:lineRule="exact"/>
        <w:ind w:firstLine="640" w:firstLineChars="200"/>
        <w:rPr>
          <w:strike/>
          <w:sz w:val="32"/>
          <w:szCs w:val="32"/>
        </w:rPr>
      </w:pPr>
      <w:r>
        <w:rPr>
          <w:rFonts w:hint="eastAsia"/>
          <w:sz w:val="32"/>
          <w:szCs w:val="32"/>
        </w:rPr>
        <w:t>卫生监督工作。遵循“依法、精简、统一、效能”的原则，启动综合执法改革，加强以区域责任制为主的职责分工，</w:t>
      </w:r>
      <w:r>
        <w:rPr>
          <w:sz w:val="32"/>
          <w:szCs w:val="32"/>
        </w:rPr>
        <w:t>整合监督力量</w:t>
      </w:r>
      <w:r>
        <w:rPr>
          <w:rFonts w:hint="eastAsia"/>
          <w:sz w:val="32"/>
          <w:szCs w:val="32"/>
        </w:rPr>
        <w:t>。创新开展执法能力建设，</w:t>
      </w:r>
      <w:r>
        <w:rPr>
          <w:rFonts w:hint="eastAsia" w:hAnsi="Times New Roman" w:cs="Times New Roman"/>
          <w:sz w:val="32"/>
          <w:szCs w:val="32"/>
        </w:rPr>
        <w:t>在业务技能培训、法律知识考试、执法案件评查、执法演练等方面推行“N+2”法律模式，增强理论基础和技能储备，提升处理问题的实战能力。建立医疗服务监督长效机制，全面推行医疗机构不良执业行为记分管理，采取主动巡查、以群众投诉为线索</w:t>
      </w:r>
      <w:r>
        <w:rPr>
          <w:rFonts w:hint="eastAsia" w:hAnsi="Times New Roman" w:cs="Times New Roman"/>
          <w:sz w:val="32"/>
          <w:szCs w:val="32"/>
          <w:lang w:eastAsia="zh-CN"/>
        </w:rPr>
        <w:t>排查</w:t>
      </w:r>
      <w:r>
        <w:rPr>
          <w:rFonts w:hint="eastAsia" w:hAnsi="Times New Roman" w:cs="Times New Roman"/>
          <w:sz w:val="32"/>
          <w:szCs w:val="32"/>
        </w:rPr>
        <w:t>和集中整治相结合的</w:t>
      </w:r>
      <w:r>
        <w:rPr>
          <w:rFonts w:hint="eastAsia" w:hAnsi="Times New Roman" w:cs="Times New Roman"/>
          <w:sz w:val="32"/>
          <w:szCs w:val="32"/>
          <w:lang w:eastAsia="zh-CN"/>
        </w:rPr>
        <w:t>监督</w:t>
      </w:r>
      <w:r>
        <w:rPr>
          <w:rFonts w:hint="eastAsia" w:hAnsi="Times New Roman" w:cs="Times New Roman"/>
          <w:sz w:val="32"/>
          <w:szCs w:val="32"/>
        </w:rPr>
        <w:t>方式，与社会医疗机构行业协会紧密合作，多管齐下、</w:t>
      </w:r>
      <w:r>
        <w:rPr>
          <w:rFonts w:hint="eastAsia"/>
          <w:sz w:val="32"/>
          <w:szCs w:val="32"/>
        </w:rPr>
        <w:t>多措并举，形成具有福田特色的卫生监督模式。</w:t>
      </w:r>
    </w:p>
    <w:p w14:paraId="414AB39B">
      <w:pPr>
        <w:spacing w:before="0" w:beforeLines="0" w:after="0" w:afterLines="0" w:line="550" w:lineRule="exact"/>
        <w:ind w:firstLine="640" w:firstLineChars="200"/>
        <w:rPr>
          <w:rFonts w:ascii="仿宋" w:hAnsi="仿宋" w:eastAsia="仿宋"/>
          <w:sz w:val="32"/>
          <w:szCs w:val="32"/>
        </w:rPr>
      </w:pPr>
      <w:r>
        <w:rPr>
          <w:rFonts w:hint="eastAsia"/>
          <w:sz w:val="32"/>
          <w:szCs w:val="32"/>
        </w:rPr>
        <w:t>妇幼保健工作。通过改革创新、分段实施、把握重点、寻求突破等手段，妇幼卫生指标全面优秀达标，早孕检查率、孕产妇系统管理率等重点难点指标全市最优，婚前孕前检查率再居全市第一，公卫项目数及完成数量创历史新高。2015年，福田区以全省第二名的优异成绩通过省级妇幼健康优质服务示范区评估并获国家级妇幼健康优质服务示范区推荐提名。</w:t>
      </w:r>
    </w:p>
    <w:p w14:paraId="7E92631E">
      <w:pPr>
        <w:spacing w:before="0" w:beforeLines="0" w:after="0" w:afterLines="0" w:line="550" w:lineRule="exact"/>
        <w:ind w:firstLine="640" w:firstLineChars="200"/>
        <w:rPr>
          <w:sz w:val="32"/>
          <w:szCs w:val="32"/>
        </w:rPr>
      </w:pPr>
      <w:r>
        <w:rPr>
          <w:rFonts w:hint="eastAsia"/>
          <w:sz w:val="32"/>
          <w:szCs w:val="32"/>
        </w:rPr>
        <w:t>慢病管理工作。初步形成了“政府主导、多部门合作、专业机构支持、全社会参与”的慢性病综合防控体系，成功创建了国家慢性病综合防控示范区。结核病和性病疫情上升趋势得到遏制。积极推进精神卫生体系建设，不断夯实严重精神障碍患者管理治疗工作。开展“阳光心理、幸福福田”健康服务项目，初步搭建起以心理测评、心理咨询和心理危机干预为主要服务内容的心理卫生工作框架。</w:t>
      </w:r>
    </w:p>
    <w:p w14:paraId="3E0F8333">
      <w:pPr>
        <w:spacing w:before="0" w:beforeLines="0" w:after="0" w:afterLines="0" w:line="550" w:lineRule="exact"/>
        <w:ind w:firstLine="640" w:firstLineChars="200"/>
        <w:rPr>
          <w:sz w:val="32"/>
          <w:szCs w:val="32"/>
        </w:rPr>
      </w:pPr>
      <w:r>
        <w:rPr>
          <w:rFonts w:hint="eastAsia"/>
          <w:sz w:val="32"/>
          <w:szCs w:val="32"/>
        </w:rPr>
        <w:t xml:space="preserve">健康教育工作。推进健康教育规范化建设，建立了全区健康教育服务网络体系。围绕居民健康素养促进行动，通过电视、广播、报刊、网络、新媒体、医院视屏等公众传媒以及编印各种卫生科普宣传读物，开展全方位立体健康传播，大力宣传健康素养知识。实施了以“举办百场健康讲座、设立百个健康书吧”为主要内容的健康教育“双百工程”特色项目。2015年我区居民健康素养水平为15.36%，呈逐年上升趋势，高于全市其他各区，为全市唯一一个达到2015年市规划要求的行政区。    </w:t>
      </w:r>
    </w:p>
    <w:p w14:paraId="4D65538B">
      <w:pPr>
        <w:spacing w:before="0" w:beforeLines="0" w:after="0" w:afterLines="0" w:line="550" w:lineRule="exact"/>
        <w:ind w:firstLine="640" w:firstLineChars="200"/>
        <w:rPr>
          <w:rFonts w:ascii="楷体_GB2312" w:eastAsia="楷体_GB2312"/>
          <w:b/>
          <w:sz w:val="32"/>
          <w:szCs w:val="32"/>
        </w:rPr>
      </w:pPr>
      <w:bookmarkStart w:id="9" w:name="_Toc443405993"/>
      <w:r>
        <w:rPr>
          <w:rFonts w:hint="eastAsia" w:ascii="楷体_GB2312" w:eastAsia="楷体_GB2312"/>
          <w:b/>
          <w:sz w:val="32"/>
          <w:szCs w:val="32"/>
        </w:rPr>
        <w:t>（四）计划生育管理服务水平不断提高</w:t>
      </w:r>
      <w:bookmarkEnd w:id="9"/>
    </w:p>
    <w:p w14:paraId="7FCA0488">
      <w:pPr>
        <w:spacing w:before="0" w:beforeLines="0" w:after="0" w:afterLines="0" w:line="550" w:lineRule="exact"/>
        <w:ind w:firstLine="640" w:firstLineChars="200"/>
        <w:rPr>
          <w:sz w:val="32"/>
          <w:szCs w:val="32"/>
        </w:rPr>
      </w:pPr>
      <w:r>
        <w:rPr>
          <w:rFonts w:hint="eastAsia"/>
          <w:sz w:val="32"/>
          <w:szCs w:val="32"/>
        </w:rPr>
        <w:t>一是强化管理责任落实，夯实计生基础工作。与各责任单位签订责任书，落实计生齐抓共管。强化街道计生考核，按照重点下移、以考代训的原则，将年度目标管理责任制考核改为季度考核，将考核主体由街道下沉到社区，由“统计质量”单项考核调整为七大项全内容考核，考核工作覆盖到每个街道和绝大多数社区。二是强化动态监测，提升计生数据质量。开展数据清理清查工作，完成了我区全员人口信息系统的建设。截至2015年，系统共建档196万条，其中户籍人口99万，流动人口97万。加强部门信息协作，建立信息共享制度，抓好信息采集、核实、录入和汇总工作。建立系统维护制度，规范系统建卡、删卡和管卡制度，提升全员人口信息系统的安全性和可靠性。三是深化协作，加强流动人口专项服务。流动人口专项服务活动以深化与流动人口重点地区协作为重点，开展流动人口计划生育问题户的摸底、核对、信息反馈和上门服务管理工作，取得了显著成效，建立健全了与流出地的区域协作和信息互通机制，推进流动人口计划生育基本公共服务均等化，解决了一批流动人口计生管理“三难”问题。四是深化改革，创新计生服务模式。2014年5月，在全国率先推出“三证两服务”一站式办理，即结婚证、计划生育服务证、孕期检查计划生育证明和免费婚前优生健康检查、免费孕情检查，把审批型的登记管理变成服务型的便民直通车。截止2015年底，共办理服务证7429本，孕检证明,275份。计划生育管理服务水平不断提升，获省政府评为2015年度广东省人口与计划生育先进单位。</w:t>
      </w:r>
    </w:p>
    <w:p w14:paraId="28025867">
      <w:pPr>
        <w:spacing w:before="0" w:beforeLines="0" w:after="0" w:afterLines="0" w:line="550" w:lineRule="exact"/>
        <w:ind w:firstLine="640" w:firstLineChars="200"/>
        <w:rPr>
          <w:rFonts w:ascii="楷体_GB2312" w:eastAsia="楷体_GB2312"/>
          <w:b/>
          <w:sz w:val="32"/>
          <w:szCs w:val="32"/>
        </w:rPr>
      </w:pPr>
      <w:r>
        <w:rPr>
          <w:rFonts w:hint="eastAsia" w:ascii="楷体_GB2312" w:eastAsia="楷体_GB2312"/>
          <w:b/>
          <w:sz w:val="32"/>
          <w:szCs w:val="32"/>
        </w:rPr>
        <w:t>（五）医药卫生体制机制改革工作有序推进</w:t>
      </w:r>
    </w:p>
    <w:p w14:paraId="4294D5E3">
      <w:pPr>
        <w:spacing w:before="0" w:beforeLines="0" w:after="0" w:afterLines="0" w:line="550" w:lineRule="exact"/>
        <w:ind w:firstLine="640" w:firstLineChars="200"/>
        <w:rPr>
          <w:sz w:val="32"/>
          <w:szCs w:val="32"/>
        </w:rPr>
      </w:pPr>
      <w:r>
        <w:rPr>
          <w:rFonts w:hint="eastAsia"/>
          <w:sz w:val="32"/>
          <w:szCs w:val="32"/>
        </w:rPr>
        <w:t>稳步推进公立医院法人治理结构改革。在区妇幼保健院开展试点，通过组建理事会，建立统一、高效、权责一致的管理体制，提升了医院运营效率。推进医院岗位管理制度、聘用制度和公开招聘制度等核心制度建设，制定和完善医院配套管理制度、监督制度，完善管理模式，建立了决策、运营、监督相协调的公立医院运行机制。</w:t>
      </w:r>
    </w:p>
    <w:p w14:paraId="08F9F295">
      <w:pPr>
        <w:spacing w:before="0" w:beforeLines="0" w:after="0" w:afterLines="0" w:line="550" w:lineRule="exact"/>
        <w:ind w:firstLine="640" w:firstLineChars="200"/>
        <w:rPr>
          <w:sz w:val="32"/>
          <w:szCs w:val="32"/>
        </w:rPr>
      </w:pPr>
      <w:r>
        <w:rPr>
          <w:rFonts w:hint="eastAsia"/>
          <w:sz w:val="32"/>
          <w:szCs w:val="32"/>
        </w:rPr>
        <w:t>深入推进“三名工程”，合作共建取得新进展。区属医院与大学共建取得突破性进展。在区中医院的基础上，区政府与广州中医药大学合作共建广州中医药大学深圳医院，双方共同组建理事会，医院实行理事会领导下的院长负责制。推动“名诊所”建设，引进优质社会力量建设名医诊疗中心。区属</w:t>
      </w:r>
      <w:r>
        <w:rPr>
          <w:rFonts w:hint="eastAsia"/>
          <w:sz w:val="32"/>
          <w:szCs w:val="32"/>
          <w:lang w:eastAsia="zh-CN"/>
        </w:rPr>
        <w:t>医院</w:t>
      </w:r>
      <w:r>
        <w:rPr>
          <w:rFonts w:hint="eastAsia"/>
          <w:sz w:val="32"/>
          <w:szCs w:val="32"/>
        </w:rPr>
        <w:t>与知名医学院校开展植入式合作办医。</w:t>
      </w:r>
    </w:p>
    <w:p w14:paraId="07276655">
      <w:pPr>
        <w:spacing w:before="0" w:beforeLines="0" w:after="0" w:afterLines="0" w:line="550" w:lineRule="exact"/>
        <w:ind w:firstLine="640" w:firstLineChars="200"/>
        <w:rPr>
          <w:sz w:val="32"/>
          <w:szCs w:val="32"/>
        </w:rPr>
      </w:pPr>
      <w:r>
        <w:rPr>
          <w:rFonts w:hint="eastAsia"/>
          <w:sz w:val="32"/>
          <w:szCs w:val="32"/>
        </w:rPr>
        <w:t>深化管理服务能力建设，质量水平取得新提升。积极实施卫生人才“英才计划”，以调动、选聘、公开招考、赴外定点招考等多方式多渠道引进人才，“十二五”期间，引进各层次卫生专业人才593名（含住院医师、全科医师规范化培训学员272名），其中研究生以上学历人员231人，占比39.0%，高级职称27名，占比4.5%。健全质量控制体系，成立10个质控中心，强化医疗服务质量管理，我区“政府主导的多学科质控中心构建”项目获颁亚洲医院管理创新类“卓越奖”，成为全省、全市获奖的首家单位，也是唯一一家。推进区属单位学科建设，提升专科学科能力，确定区级重点专科13个、重点专科建设单位12个。推进基础设施建设，加快实施服务环境提升工程。</w:t>
      </w:r>
    </w:p>
    <w:p w14:paraId="0632434D">
      <w:pPr>
        <w:spacing w:before="0" w:beforeLines="0" w:after="0" w:afterLines="0" w:line="550" w:lineRule="exact"/>
        <w:ind w:firstLine="640" w:firstLineChars="200"/>
        <w:rPr>
          <w:rFonts w:ascii="黑体" w:hAnsi="黑体" w:eastAsia="黑体"/>
          <w:b/>
          <w:sz w:val="32"/>
          <w:szCs w:val="32"/>
        </w:rPr>
      </w:pPr>
      <w:bookmarkStart w:id="10" w:name="_Toc424340824"/>
      <w:bookmarkStart w:id="11" w:name="_Toc443405995"/>
      <w:r>
        <w:rPr>
          <w:rFonts w:hint="eastAsia" w:ascii="黑体" w:hAnsi="黑体" w:eastAsia="黑体"/>
          <w:sz w:val="32"/>
          <w:szCs w:val="32"/>
        </w:rPr>
        <w:t>三、面临的环境和挑战</w:t>
      </w:r>
      <w:bookmarkEnd w:id="10"/>
      <w:bookmarkEnd w:id="11"/>
    </w:p>
    <w:p w14:paraId="61242660">
      <w:pPr>
        <w:spacing w:before="0" w:beforeLines="0" w:after="0" w:afterLines="0" w:line="550" w:lineRule="exact"/>
        <w:ind w:firstLine="640" w:firstLineChars="200"/>
        <w:rPr>
          <w:sz w:val="32"/>
          <w:szCs w:val="32"/>
        </w:rPr>
      </w:pPr>
      <w:r>
        <w:rPr>
          <w:rFonts w:hint="eastAsia" w:ascii="楷体_GB2312" w:eastAsia="楷体_GB2312"/>
          <w:b/>
          <w:sz w:val="32"/>
          <w:szCs w:val="32"/>
        </w:rPr>
        <w:t>（一）区医疗卫生服务体系基础薄弱。</w:t>
      </w:r>
      <w:r>
        <w:rPr>
          <w:rFonts w:hint="eastAsia"/>
          <w:sz w:val="32"/>
          <w:szCs w:val="32"/>
        </w:rPr>
        <w:t>一是，服务体系“层次不清”，市级高端医疗资源集中，区级医疗机构提供医疗服务量有限，功能定位尚未清晰，个别医院发展方向不清。二是，服务体系“功能不全”，医疗服务体系以治疗为主，预防、康复性质的医疗机构较少，不能充分满足居民多层次、多元化的健康需求。三是，分级诊疗制度未建立，患者自由择医，集中在大医院求医、就医无序。四是，社康中心基础设施薄弱，自有用房率不足，多数社康规模小、设备不足、人员配备不齐、服务能力不足，不能满足多元化的健康需求;社康中心缺乏康复科室和医务人员，无法实现“康复回社区”的目标。</w:t>
      </w:r>
    </w:p>
    <w:p w14:paraId="3AB3DBB9">
      <w:pPr>
        <w:spacing w:before="0" w:beforeLines="0" w:after="0" w:afterLines="0" w:line="550" w:lineRule="exact"/>
        <w:ind w:firstLine="640" w:firstLineChars="200"/>
        <w:rPr>
          <w:sz w:val="32"/>
          <w:szCs w:val="32"/>
        </w:rPr>
      </w:pPr>
      <w:r>
        <w:rPr>
          <w:rFonts w:hint="eastAsia" w:ascii="楷体_GB2312" w:eastAsia="楷体_GB2312"/>
          <w:b/>
          <w:sz w:val="32"/>
          <w:szCs w:val="32"/>
        </w:rPr>
        <w:t>（二）卫生人力资源配置滞后，遭遇人才发展瓶颈。</w:t>
      </w:r>
      <w:r>
        <w:rPr>
          <w:rFonts w:hint="eastAsia"/>
          <w:sz w:val="32"/>
          <w:szCs w:val="32"/>
        </w:rPr>
        <w:t>人力资源总量不足，随着区属医院卫生基础设施建设工程竣工，开放床位数将实现倍增，卫生人才总量缺口较大。人才结构需要调整，一是，人才梯队不合理，学科带头人等高层次医疗人才匮乏。二是，新兴产业服务人员不足，全科医学、康复医学、健康管理人员、预防保健服务人员、中医保健与康复、管理人员缺乏。</w:t>
      </w:r>
    </w:p>
    <w:p w14:paraId="1D8822A6">
      <w:pPr>
        <w:spacing w:before="0" w:beforeLines="0" w:after="0" w:afterLines="0" w:line="550" w:lineRule="exact"/>
        <w:ind w:firstLine="640" w:firstLineChars="200"/>
        <w:rPr>
          <w:sz w:val="32"/>
          <w:szCs w:val="32"/>
        </w:rPr>
      </w:pPr>
      <w:r>
        <w:rPr>
          <w:rFonts w:hint="eastAsia" w:ascii="楷体_GB2312" w:eastAsia="楷体_GB2312"/>
          <w:b/>
          <w:sz w:val="32"/>
          <w:szCs w:val="32"/>
        </w:rPr>
        <w:t>（三）信息化程度落后,数字化医院和区域平台建设亟待加强。</w:t>
      </w:r>
      <w:r>
        <w:rPr>
          <w:rFonts w:hint="eastAsia"/>
          <w:sz w:val="32"/>
          <w:szCs w:val="32"/>
        </w:rPr>
        <w:t>区属医疗机构电子病历评级均在3级以下，个别医院评级甚至为零。资源无法共享，“信息孤岛”现象严重。信息化建设落后，严重影响医院数字化运营、精细化管理及效率的改善和提高。</w:t>
      </w:r>
    </w:p>
    <w:p w14:paraId="46B8FA5F">
      <w:pPr>
        <w:spacing w:before="0" w:beforeLines="0" w:after="0" w:afterLines="0" w:line="550" w:lineRule="exact"/>
        <w:ind w:firstLine="640" w:firstLineChars="200"/>
        <w:rPr>
          <w:sz w:val="32"/>
          <w:szCs w:val="32"/>
        </w:rPr>
      </w:pPr>
      <w:r>
        <w:rPr>
          <w:rFonts w:hint="eastAsia" w:ascii="楷体_GB2312" w:eastAsia="楷体_GB2312"/>
          <w:b/>
          <w:sz w:val="32"/>
          <w:szCs w:val="32"/>
        </w:rPr>
        <w:t>（四）计生服务工作面临新的机遇和挑战。</w:t>
      </w:r>
      <w:r>
        <w:rPr>
          <w:rFonts w:hint="eastAsia"/>
          <w:sz w:val="32"/>
          <w:szCs w:val="32"/>
        </w:rPr>
        <w:t>一是，</w:t>
      </w:r>
      <w:r>
        <w:rPr>
          <w:rFonts w:hint="eastAsia"/>
          <w:sz w:val="32"/>
          <w:szCs w:val="32"/>
          <w:lang w:eastAsia="zh-CN"/>
        </w:rPr>
        <w:t>“</w:t>
      </w:r>
      <w:r>
        <w:rPr>
          <w:rFonts w:hint="eastAsia"/>
          <w:sz w:val="32"/>
          <w:szCs w:val="32"/>
        </w:rPr>
        <w:t>十三五</w:t>
      </w:r>
      <w:r>
        <w:rPr>
          <w:rFonts w:hint="eastAsia"/>
          <w:sz w:val="32"/>
          <w:szCs w:val="32"/>
          <w:lang w:eastAsia="zh-CN"/>
        </w:rPr>
        <w:t>”</w:t>
      </w:r>
      <w:bookmarkStart w:id="42" w:name="_GoBack"/>
      <w:bookmarkEnd w:id="42"/>
      <w:r>
        <w:rPr>
          <w:rFonts w:hint="eastAsia"/>
          <w:sz w:val="32"/>
          <w:szCs w:val="32"/>
        </w:rPr>
        <w:t>期间全面放开二孩政策，计生考核相关政策需要相应的调整，同时增大对流动人口的考核难度。二是，计生与妇幼职能整合，既要防止职能交叉，又要防止缺位漏位。</w:t>
      </w:r>
    </w:p>
    <w:p w14:paraId="39AB4DAE">
      <w:pPr>
        <w:spacing w:before="163" w:after="163" w:line="550" w:lineRule="exact"/>
        <w:jc w:val="center"/>
        <w:rPr>
          <w:rFonts w:ascii="方正小标宋_GBK" w:hAnsi="方正小标宋_GBK" w:eastAsia="方正小标宋_GBK" w:cs="方正小标宋_GBK"/>
          <w:bCs/>
          <w:sz w:val="32"/>
          <w:szCs w:val="32"/>
        </w:rPr>
      </w:pPr>
      <w:bookmarkStart w:id="12" w:name="_Toc443406000"/>
      <w:bookmarkStart w:id="13" w:name="_Toc424340829"/>
      <w:r>
        <w:rPr>
          <w:rFonts w:hint="eastAsia" w:ascii="方正小标宋_GBK" w:hAnsi="方正小标宋_GBK" w:eastAsia="方正小标宋_GBK" w:cs="方正小标宋_GBK"/>
          <w:bCs/>
          <w:sz w:val="32"/>
          <w:szCs w:val="32"/>
        </w:rPr>
        <w:t>第二章 指导思想、基本原则和主要</w:t>
      </w:r>
      <w:bookmarkEnd w:id="12"/>
      <w:bookmarkEnd w:id="13"/>
      <w:r>
        <w:rPr>
          <w:rFonts w:hint="eastAsia" w:ascii="方正小标宋_GBK" w:hAnsi="方正小标宋_GBK" w:eastAsia="方正小标宋_GBK" w:cs="方正小标宋_GBK"/>
          <w:bCs/>
          <w:sz w:val="32"/>
          <w:szCs w:val="32"/>
        </w:rPr>
        <w:t>指标</w:t>
      </w:r>
    </w:p>
    <w:p w14:paraId="0262BE9C">
      <w:pPr>
        <w:spacing w:before="0" w:beforeLines="0" w:after="0" w:afterLines="0" w:line="550" w:lineRule="exact"/>
        <w:ind w:firstLine="640" w:firstLineChars="200"/>
        <w:rPr>
          <w:rFonts w:ascii="黑体" w:hAnsi="黑体" w:eastAsia="黑体"/>
          <w:sz w:val="32"/>
          <w:szCs w:val="32"/>
        </w:rPr>
      </w:pPr>
      <w:bookmarkStart w:id="14" w:name="_Toc424340830"/>
      <w:bookmarkStart w:id="15" w:name="_Toc443406001"/>
      <w:r>
        <w:rPr>
          <w:rFonts w:hint="eastAsia" w:ascii="黑体" w:hAnsi="黑体" w:eastAsia="黑体"/>
          <w:sz w:val="32"/>
          <w:szCs w:val="32"/>
        </w:rPr>
        <w:t>一、指导思想</w:t>
      </w:r>
      <w:bookmarkEnd w:id="14"/>
      <w:bookmarkEnd w:id="15"/>
    </w:p>
    <w:p w14:paraId="56F3AC2D">
      <w:pPr>
        <w:spacing w:before="0" w:beforeLines="0" w:after="0" w:afterLines="0" w:line="550" w:lineRule="exact"/>
        <w:ind w:firstLine="640" w:firstLineChars="200"/>
        <w:rPr>
          <w:sz w:val="32"/>
          <w:szCs w:val="32"/>
        </w:rPr>
      </w:pPr>
      <w:r>
        <w:rPr>
          <w:rFonts w:hint="eastAsia"/>
          <w:sz w:val="32"/>
          <w:szCs w:val="32"/>
        </w:rPr>
        <w:t xml:space="preserve">根据福田区打造“首善之区，幸福福田”、“卫生强区，健康城区”和建设一流国际化中心城区的总体要求，以维护人民健康为中心，以深化医药卫生体制改革为动力，以发展社康中心为重点，打造“六大品牌”（详见附件1），实施“十大重大工程”（详见附件2）。进一步理顺区级医疗机构功能定位，构建分级诊疗体系和健康服务体系。创新服务模式，鼓励多元投资，充分释放健康服务潜力和活力，满足人民群众多层次多样化健康服务需求，不断提高人民群众的健康素质。具体为“一个目标、一套体系、四项重点任务”。 </w:t>
      </w:r>
    </w:p>
    <w:p w14:paraId="4880D173">
      <w:pPr>
        <w:spacing w:before="0" w:beforeLines="0" w:after="0" w:afterLines="0" w:line="550" w:lineRule="exact"/>
        <w:ind w:firstLine="640" w:firstLineChars="200"/>
        <w:rPr>
          <w:color w:val="000000"/>
          <w:spacing w:val="-3"/>
          <w:sz w:val="32"/>
          <w:szCs w:val="32"/>
        </w:rPr>
      </w:pPr>
      <w:r>
        <w:rPr>
          <w:rFonts w:hint="eastAsia"/>
          <w:sz w:val="32"/>
          <w:szCs w:val="32"/>
        </w:rPr>
        <w:t>——以“卫生强区，健康城区”建设为目标。深化医疗卫生体制改革，不断完善公共卫生服务体系建设，明确各级各类医疗卫生机构功能定位，</w:t>
      </w:r>
      <w:r>
        <w:rPr>
          <w:rFonts w:hint="eastAsia"/>
          <w:color w:val="000000"/>
          <w:spacing w:val="-3"/>
          <w:sz w:val="32"/>
          <w:szCs w:val="32"/>
        </w:rPr>
        <w:t>推进医疗卫生强基创优和高地构建，深化卫生强区、健康城区建设，力争医疗卫生综合实力和主要健康指标达到或接近发达国家（地区）水平，人民群众健康水平明显提升，努力建成与中心城区经济社会发展相适应、居民群众期待相适应、与全面小康社会相适应的医疗卫生事业。</w:t>
      </w:r>
    </w:p>
    <w:p w14:paraId="2D7BDECE">
      <w:pPr>
        <w:spacing w:before="0" w:beforeLines="0" w:after="0" w:afterLines="0" w:line="550" w:lineRule="exact"/>
        <w:ind w:firstLine="640" w:firstLineChars="200"/>
        <w:rPr>
          <w:sz w:val="32"/>
          <w:szCs w:val="32"/>
        </w:rPr>
      </w:pPr>
      <w:r>
        <w:rPr>
          <w:rFonts w:hint="eastAsia"/>
          <w:sz w:val="32"/>
          <w:szCs w:val="32"/>
        </w:rPr>
        <w:t>——探索建立健康服务体系。基于大健康理念，整合现有医疗卫生资源，明确机构功能定位和分工，优化结构和布局，以常见病、慢性病为突破口，以家庭为单元提供服务，探索构建社康中心、区级医疗机构、公共卫生专业机构“三位一体”的医防融合的健康服务体系。</w:t>
      </w:r>
    </w:p>
    <w:p w14:paraId="0AFA1AEB">
      <w:pPr>
        <w:spacing w:before="0" w:beforeLines="0" w:after="0" w:afterLines="0" w:line="550" w:lineRule="exact"/>
        <w:ind w:firstLine="640" w:firstLineChars="200"/>
        <w:rPr>
          <w:sz w:val="32"/>
          <w:szCs w:val="32"/>
        </w:rPr>
      </w:pPr>
      <w:r>
        <w:rPr>
          <w:rFonts w:hint="eastAsia"/>
          <w:sz w:val="32"/>
          <w:szCs w:val="32"/>
        </w:rPr>
        <w:t>——以四项重点任务为抓手。结合福田实际，明确四项重点任务：推进公共卫生服务体系建设、推进医疗卫生服务体系建设、深化医药卫生体制改革、推进计划生育管理服务转型。</w:t>
      </w:r>
    </w:p>
    <w:p w14:paraId="7A3BAAE9">
      <w:pPr>
        <w:spacing w:before="0" w:beforeLines="0" w:after="0" w:afterLines="0" w:line="550" w:lineRule="exact"/>
        <w:ind w:firstLine="640" w:firstLineChars="200"/>
        <w:rPr>
          <w:rFonts w:ascii="黑体" w:hAnsi="黑体" w:eastAsia="黑体"/>
          <w:b/>
          <w:bCs/>
          <w:sz w:val="32"/>
          <w:szCs w:val="32"/>
        </w:rPr>
      </w:pPr>
      <w:bookmarkStart w:id="16" w:name="_Toc424340831"/>
      <w:bookmarkStart w:id="17" w:name="_Toc443406002"/>
      <w:r>
        <w:rPr>
          <w:rFonts w:hint="eastAsia" w:ascii="黑体" w:hAnsi="黑体" w:eastAsia="黑体"/>
          <w:sz w:val="32"/>
          <w:szCs w:val="32"/>
        </w:rPr>
        <w:t>二、基本原则</w:t>
      </w:r>
      <w:bookmarkEnd w:id="16"/>
      <w:bookmarkEnd w:id="17"/>
    </w:p>
    <w:p w14:paraId="63651ABB">
      <w:pPr>
        <w:spacing w:before="0" w:beforeLines="0" w:after="0" w:afterLines="0" w:line="550" w:lineRule="exact"/>
        <w:ind w:firstLine="640" w:firstLineChars="200"/>
        <w:rPr>
          <w:sz w:val="32"/>
          <w:szCs w:val="32"/>
        </w:rPr>
      </w:pPr>
      <w:r>
        <w:rPr>
          <w:rFonts w:hint="eastAsia"/>
          <w:sz w:val="32"/>
          <w:szCs w:val="32"/>
        </w:rPr>
        <w:t>健康为本，服务群众。一切从居民的健康出发，把提升全区居民健康素质作为卫生和计划生育事业发展的出发点和落脚点，满足多层次、多角度的健康服务需求，切实维护人民群众健康权益。实现公共卫生服务均等化和医疗卫生普惠化。</w:t>
      </w:r>
    </w:p>
    <w:p w14:paraId="2CB71882">
      <w:pPr>
        <w:spacing w:before="0" w:beforeLines="0" w:after="0" w:afterLines="0" w:line="550" w:lineRule="exact"/>
        <w:ind w:firstLine="640" w:firstLineChars="200"/>
        <w:rPr>
          <w:sz w:val="32"/>
          <w:szCs w:val="32"/>
        </w:rPr>
      </w:pPr>
      <w:r>
        <w:rPr>
          <w:rFonts w:hint="eastAsia"/>
          <w:sz w:val="32"/>
          <w:szCs w:val="32"/>
        </w:rPr>
        <w:t>政府主导，市场驱动。强化政府在政策主导、机制建设及行业监管等方面的职责。充分发挥市场在资源配置中的作用，创造有利条件鼓励社会资本办医，充分调动其积极性和创造性，不断增加健康服务供给，提高服务质量和效率。</w:t>
      </w:r>
    </w:p>
    <w:p w14:paraId="07DD7F1F">
      <w:pPr>
        <w:spacing w:before="0" w:beforeLines="0" w:after="0" w:afterLines="0" w:line="550" w:lineRule="exact"/>
        <w:ind w:firstLine="640" w:firstLineChars="200"/>
        <w:rPr>
          <w:sz w:val="32"/>
          <w:szCs w:val="32"/>
        </w:rPr>
      </w:pPr>
      <w:r>
        <w:rPr>
          <w:rFonts w:hint="eastAsia"/>
          <w:sz w:val="32"/>
          <w:szCs w:val="32"/>
        </w:rPr>
        <w:t>整体推进，重点突破。坚持卫生和计划生育事业发展全区一盘棋和分类指导、分步推进、重点突破相结合，统筹规划，合理布局，明确方向，各级各类医疗机构根据实际差异化发展，整合资源，实现率先突破。</w:t>
      </w:r>
    </w:p>
    <w:p w14:paraId="3322D13F">
      <w:pPr>
        <w:spacing w:before="0" w:beforeLines="0" w:after="0" w:afterLines="0" w:line="550" w:lineRule="exact"/>
        <w:ind w:firstLine="640" w:firstLineChars="200"/>
        <w:rPr>
          <w:sz w:val="32"/>
          <w:szCs w:val="32"/>
        </w:rPr>
      </w:pPr>
      <w:r>
        <w:rPr>
          <w:rFonts w:hint="eastAsia"/>
          <w:sz w:val="32"/>
          <w:szCs w:val="32"/>
        </w:rPr>
        <w:t>质量优先，注重内涵。加强服务质量监督与管理，严把各级各类医疗卫生机构服务质量关，从数量先导、追求体量规模转变为质量优先、注重内涵建设，提高核心竞争力。</w:t>
      </w:r>
      <w:bookmarkStart w:id="18" w:name="_Toc424340832"/>
      <w:bookmarkStart w:id="19" w:name="_Toc443406003"/>
    </w:p>
    <w:p w14:paraId="4670602E">
      <w:pPr>
        <w:spacing w:before="0" w:beforeLines="0" w:after="0" w:afterLines="0" w:line="550" w:lineRule="exact"/>
        <w:ind w:firstLine="640" w:firstLineChars="200"/>
        <w:rPr>
          <w:rFonts w:ascii="黑体" w:hAnsi="黑体"/>
          <w:sz w:val="32"/>
          <w:szCs w:val="32"/>
        </w:rPr>
      </w:pPr>
      <w:r>
        <w:rPr>
          <w:rFonts w:hint="eastAsia" w:ascii="黑体" w:hAnsi="黑体" w:eastAsia="黑体"/>
          <w:sz w:val="32"/>
          <w:szCs w:val="32"/>
        </w:rPr>
        <w:t>三、主要</w:t>
      </w:r>
      <w:bookmarkEnd w:id="18"/>
      <w:bookmarkEnd w:id="19"/>
      <w:bookmarkStart w:id="20" w:name="_Toc424340833"/>
      <w:bookmarkStart w:id="21" w:name="_Toc443406004"/>
      <w:r>
        <w:rPr>
          <w:rFonts w:hint="eastAsia" w:ascii="黑体" w:hAnsi="黑体" w:eastAsia="黑体"/>
          <w:sz w:val="32"/>
          <w:szCs w:val="32"/>
        </w:rPr>
        <w:t>指标</w:t>
      </w:r>
    </w:p>
    <w:bookmarkEnd w:id="20"/>
    <w:bookmarkEnd w:id="21"/>
    <w:p w14:paraId="3ACB3A50">
      <w:pPr>
        <w:spacing w:before="0" w:beforeLines="0" w:after="0" w:afterLines="0" w:line="550" w:lineRule="exact"/>
        <w:ind w:firstLine="640" w:firstLineChars="200"/>
        <w:rPr>
          <w:sz w:val="32"/>
          <w:szCs w:val="32"/>
        </w:rPr>
      </w:pPr>
      <w:r>
        <w:rPr>
          <w:rFonts w:hint="eastAsia"/>
          <w:sz w:val="32"/>
          <w:szCs w:val="32"/>
        </w:rPr>
        <w:t>整合现有资源，优化医疗卫生资源配置、加强基础设施建设、改革卫生管理体制和内部运行机制，构建与福田区经济和社会发展水平相适应、与居民健康需求相匹配的体系完整、分工明确、功能互补、密切协作的医疗卫生服务体系，保障我区卫生和计划生育事业协调、可持续发展。至2020年，居民健康及相关指标</w:t>
      </w:r>
      <w:r>
        <w:rPr>
          <w:rFonts w:hint="eastAsia"/>
          <w:color w:val="000000"/>
          <w:spacing w:val="-3"/>
          <w:sz w:val="32"/>
          <w:szCs w:val="32"/>
        </w:rPr>
        <w:t>达到或接近发达国家（地区）水平</w:t>
      </w:r>
      <w:r>
        <w:rPr>
          <w:rFonts w:hint="eastAsia"/>
          <w:sz w:val="32"/>
          <w:szCs w:val="32"/>
        </w:rPr>
        <w:t>。</w:t>
      </w:r>
    </w:p>
    <w:p w14:paraId="4C485149">
      <w:pPr>
        <w:spacing w:before="0" w:beforeLines="0" w:after="0" w:afterLines="0" w:line="550" w:lineRule="exact"/>
        <w:ind w:firstLine="640" w:firstLineChars="200"/>
        <w:rPr>
          <w:rFonts w:ascii="楷体_GB2312" w:eastAsia="楷体_GB2312"/>
          <w:b/>
          <w:sz w:val="32"/>
          <w:szCs w:val="32"/>
        </w:rPr>
      </w:pPr>
      <w:bookmarkStart w:id="22" w:name="_Toc443406005"/>
      <w:r>
        <w:rPr>
          <w:rFonts w:hint="eastAsia" w:ascii="楷体_GB2312" w:eastAsia="楷体_GB2312"/>
          <w:b/>
          <w:sz w:val="32"/>
          <w:szCs w:val="32"/>
        </w:rPr>
        <w:t>（一）</w:t>
      </w:r>
      <w:bookmarkEnd w:id="22"/>
      <w:r>
        <w:rPr>
          <w:rFonts w:hint="eastAsia" w:ascii="楷体_GB2312" w:eastAsia="楷体_GB2312"/>
          <w:b/>
          <w:sz w:val="32"/>
          <w:szCs w:val="32"/>
        </w:rPr>
        <w:t>主要卫生和计划生育指标</w:t>
      </w:r>
    </w:p>
    <w:p w14:paraId="08134725">
      <w:pPr>
        <w:spacing w:before="0" w:beforeLines="0" w:after="0" w:afterLines="0" w:line="550" w:lineRule="exact"/>
        <w:ind w:firstLine="640" w:firstLineChars="200"/>
        <w:rPr>
          <w:sz w:val="32"/>
          <w:szCs w:val="32"/>
        </w:rPr>
      </w:pPr>
      <w:r>
        <w:rPr>
          <w:rFonts w:hint="eastAsia"/>
          <w:sz w:val="32"/>
          <w:szCs w:val="32"/>
        </w:rPr>
        <w:t>平均期望寿命：81岁</w:t>
      </w:r>
    </w:p>
    <w:p w14:paraId="3EDA4384">
      <w:pPr>
        <w:spacing w:before="0" w:beforeLines="0" w:after="0" w:afterLines="0" w:line="550" w:lineRule="exact"/>
        <w:ind w:firstLine="640" w:firstLineChars="200"/>
        <w:rPr>
          <w:sz w:val="32"/>
          <w:szCs w:val="32"/>
        </w:rPr>
      </w:pPr>
      <w:r>
        <w:rPr>
          <w:rFonts w:hint="eastAsia"/>
          <w:sz w:val="32"/>
          <w:szCs w:val="32"/>
        </w:rPr>
        <w:t>婴儿死亡率（‰）：≤2.75</w:t>
      </w:r>
    </w:p>
    <w:p w14:paraId="1138A33C">
      <w:pPr>
        <w:spacing w:before="0" w:beforeLines="0" w:after="0" w:afterLines="0" w:line="550" w:lineRule="exact"/>
        <w:ind w:firstLine="640" w:firstLineChars="200"/>
        <w:rPr>
          <w:sz w:val="32"/>
          <w:szCs w:val="32"/>
        </w:rPr>
      </w:pPr>
      <w:r>
        <w:rPr>
          <w:rFonts w:hint="eastAsia"/>
          <w:sz w:val="32"/>
          <w:szCs w:val="32"/>
        </w:rPr>
        <w:t>孕产妇死亡率（1/10万）：≤9</w:t>
      </w:r>
    </w:p>
    <w:p w14:paraId="133B957C">
      <w:pPr>
        <w:spacing w:before="0" w:beforeLines="0" w:after="0" w:afterLines="0" w:line="550" w:lineRule="exact"/>
        <w:ind w:firstLine="640" w:firstLineChars="200"/>
        <w:rPr>
          <w:sz w:val="32"/>
          <w:szCs w:val="32"/>
        </w:rPr>
      </w:pPr>
      <w:r>
        <w:rPr>
          <w:rFonts w:hint="eastAsia"/>
          <w:sz w:val="32"/>
          <w:szCs w:val="32"/>
        </w:rPr>
        <w:t>5岁以下儿童死亡率（‰）：≤5</w:t>
      </w:r>
    </w:p>
    <w:p w14:paraId="370A25D2">
      <w:pPr>
        <w:spacing w:before="0" w:beforeLines="0" w:after="0" w:afterLines="0" w:line="550" w:lineRule="exact"/>
        <w:ind w:firstLine="640" w:firstLineChars="200"/>
        <w:rPr>
          <w:sz w:val="32"/>
          <w:szCs w:val="32"/>
        </w:rPr>
      </w:pPr>
      <w:r>
        <w:rPr>
          <w:rFonts w:hint="eastAsia"/>
          <w:sz w:val="32"/>
          <w:szCs w:val="32"/>
        </w:rPr>
        <w:t>法定传染病报告率（%）：≥98</w:t>
      </w:r>
    </w:p>
    <w:p w14:paraId="053ED8CD">
      <w:pPr>
        <w:spacing w:before="0" w:beforeLines="0" w:after="0" w:afterLines="0" w:line="550" w:lineRule="exact"/>
        <w:ind w:firstLine="640" w:firstLineChars="200"/>
        <w:rPr>
          <w:sz w:val="32"/>
          <w:szCs w:val="32"/>
        </w:rPr>
      </w:pPr>
      <w:r>
        <w:rPr>
          <w:rFonts w:hint="eastAsia"/>
          <w:sz w:val="32"/>
          <w:szCs w:val="32"/>
        </w:rPr>
        <w:t>常住人口政策生育率（%）：≥90</w:t>
      </w:r>
    </w:p>
    <w:p w14:paraId="2DBD2956">
      <w:pPr>
        <w:spacing w:before="0" w:beforeLines="0" w:after="0" w:afterLines="0" w:line="550" w:lineRule="exact"/>
        <w:ind w:firstLine="640" w:firstLineChars="200"/>
        <w:rPr>
          <w:rFonts w:ascii="楷体_GB2312" w:eastAsia="楷体_GB2312"/>
          <w:b/>
          <w:sz w:val="32"/>
          <w:szCs w:val="32"/>
        </w:rPr>
      </w:pPr>
      <w:r>
        <w:rPr>
          <w:rFonts w:hint="eastAsia" w:ascii="楷体_GB2312" w:eastAsia="楷体_GB2312"/>
          <w:b/>
          <w:sz w:val="32"/>
          <w:szCs w:val="32"/>
        </w:rPr>
        <w:t>（二）主要业务指标</w:t>
      </w:r>
    </w:p>
    <w:p w14:paraId="7456D5A8">
      <w:pPr>
        <w:spacing w:before="0" w:beforeLines="0" w:after="0" w:afterLines="0" w:line="550" w:lineRule="exact"/>
        <w:ind w:firstLine="640" w:firstLineChars="200"/>
        <w:rPr>
          <w:sz w:val="32"/>
          <w:szCs w:val="32"/>
        </w:rPr>
      </w:pPr>
      <w:r>
        <w:rPr>
          <w:rFonts w:hint="eastAsia"/>
          <w:sz w:val="32"/>
          <w:szCs w:val="32"/>
        </w:rPr>
        <w:t>分为健康状况、疾病预防控制、卫生投入、妇幼卫生、卫生资源、医疗服务、计划生育七大类27个指标（详见附件3）。主要包括：</w:t>
      </w:r>
    </w:p>
    <w:p w14:paraId="2A787D2B">
      <w:pPr>
        <w:spacing w:before="0" w:beforeLines="0" w:after="0" w:afterLines="0" w:line="550" w:lineRule="exact"/>
        <w:ind w:firstLine="640" w:firstLineChars="200"/>
        <w:rPr>
          <w:sz w:val="32"/>
          <w:szCs w:val="32"/>
        </w:rPr>
      </w:pPr>
      <w:r>
        <w:rPr>
          <w:rFonts w:hint="eastAsia"/>
          <w:b/>
          <w:sz w:val="32"/>
          <w:szCs w:val="32"/>
        </w:rPr>
        <w:t>1.疾病预防控制：</w:t>
      </w:r>
      <w:r>
        <w:rPr>
          <w:rFonts w:hint="eastAsia"/>
          <w:sz w:val="32"/>
          <w:szCs w:val="32"/>
        </w:rPr>
        <w:t>肺结核患者系统管理率≥95%；严重精神障碍患者规范管理率≥82%；居民具备健康素养比例≥30%；高血压和2型糖尿病规范管理人数占比≥20%；居民数字化健康档案覆盖率≥99%；儿童国家免疫规划接种率≥95%；</w:t>
      </w:r>
    </w:p>
    <w:p w14:paraId="1066BB0C">
      <w:pPr>
        <w:spacing w:before="0" w:beforeLines="0" w:after="0" w:afterLines="0" w:line="550" w:lineRule="exact"/>
        <w:ind w:firstLine="640" w:firstLineChars="200"/>
        <w:rPr>
          <w:sz w:val="32"/>
          <w:szCs w:val="32"/>
        </w:rPr>
      </w:pPr>
      <w:r>
        <w:rPr>
          <w:rFonts w:hint="eastAsia"/>
          <w:b/>
          <w:sz w:val="32"/>
          <w:szCs w:val="32"/>
        </w:rPr>
        <w:t>2.妇幼卫生：</w:t>
      </w:r>
      <w:r>
        <w:rPr>
          <w:rFonts w:hint="eastAsia"/>
          <w:sz w:val="32"/>
          <w:szCs w:val="32"/>
        </w:rPr>
        <w:t>孕产妇系统管理率≥95%；3岁以下儿童系统管理率≥92%；妇女病普查率（三年为一周期）≥90%；</w:t>
      </w:r>
    </w:p>
    <w:p w14:paraId="5C38524F">
      <w:pPr>
        <w:spacing w:before="0" w:beforeLines="0" w:after="0" w:afterLines="0" w:line="550" w:lineRule="exact"/>
        <w:ind w:firstLine="640" w:firstLineChars="200"/>
        <w:rPr>
          <w:sz w:val="32"/>
          <w:szCs w:val="32"/>
        </w:rPr>
      </w:pPr>
      <w:r>
        <w:rPr>
          <w:rFonts w:hint="eastAsia"/>
          <w:b/>
          <w:sz w:val="32"/>
          <w:szCs w:val="32"/>
        </w:rPr>
        <w:t>3.卫生投入：</w:t>
      </w:r>
      <w:r>
        <w:rPr>
          <w:rFonts w:hint="eastAsia"/>
          <w:kern w:val="0"/>
          <w:sz w:val="32"/>
          <w:szCs w:val="32"/>
        </w:rPr>
        <w:t>个人卫生支出占卫生总费用的比例</w:t>
      </w:r>
      <w:r>
        <w:rPr>
          <w:rFonts w:hint="eastAsia"/>
          <w:sz w:val="32"/>
          <w:szCs w:val="32"/>
        </w:rPr>
        <w:t>≤20</w:t>
      </w:r>
      <w:r>
        <w:rPr>
          <w:rFonts w:hint="eastAsia"/>
          <w:kern w:val="0"/>
          <w:sz w:val="32"/>
          <w:szCs w:val="32"/>
        </w:rPr>
        <w:t>%；政府卫生支出占卫生总费用的比例≥30%；</w:t>
      </w:r>
    </w:p>
    <w:p w14:paraId="58EFA2AA">
      <w:pPr>
        <w:spacing w:before="0" w:beforeLines="0" w:after="0" w:afterLines="0" w:line="550" w:lineRule="exact"/>
        <w:ind w:firstLine="640" w:firstLineChars="200"/>
        <w:rPr>
          <w:sz w:val="32"/>
          <w:szCs w:val="32"/>
        </w:rPr>
      </w:pPr>
      <w:r>
        <w:rPr>
          <w:rFonts w:hint="eastAsia"/>
          <w:b/>
          <w:sz w:val="32"/>
          <w:szCs w:val="32"/>
        </w:rPr>
        <w:t>4.卫生资源：</w:t>
      </w:r>
      <w:r>
        <w:rPr>
          <w:rFonts w:hint="eastAsia"/>
          <w:sz w:val="32"/>
          <w:szCs w:val="32"/>
        </w:rPr>
        <w:t>区属医疗机构病床数2400-3000张；区属医疗机构执业医师数1400-1550人；区属医疗机构注册护士数1500-1700人；每万人口全科医生数3.24人；每千人口公共卫生专业人员数0.97人；</w:t>
      </w:r>
    </w:p>
    <w:p w14:paraId="6446504A">
      <w:pPr>
        <w:spacing w:before="0" w:beforeLines="0" w:after="0" w:afterLines="0" w:line="550" w:lineRule="exact"/>
        <w:ind w:firstLine="640" w:firstLineChars="200"/>
        <w:rPr>
          <w:sz w:val="32"/>
          <w:szCs w:val="32"/>
        </w:rPr>
      </w:pPr>
      <w:r>
        <w:rPr>
          <w:rFonts w:hint="eastAsia"/>
          <w:b/>
          <w:sz w:val="32"/>
          <w:szCs w:val="32"/>
        </w:rPr>
        <w:t>5.家庭医生签约：</w:t>
      </w:r>
      <w:r>
        <w:rPr>
          <w:rFonts w:hint="eastAsia"/>
          <w:sz w:val="32"/>
          <w:szCs w:val="32"/>
        </w:rPr>
        <w:t>65岁及以上老年人家庭医生签约率达80%；</w:t>
      </w:r>
    </w:p>
    <w:p w14:paraId="738C48E9">
      <w:pPr>
        <w:spacing w:before="0" w:beforeLines="0" w:after="0" w:afterLines="0" w:line="550" w:lineRule="exact"/>
        <w:ind w:firstLine="640" w:firstLineChars="200"/>
        <w:rPr>
          <w:sz w:val="32"/>
          <w:szCs w:val="32"/>
        </w:rPr>
      </w:pPr>
      <w:r>
        <w:rPr>
          <w:rFonts w:hint="eastAsia"/>
          <w:b/>
          <w:sz w:val="32"/>
          <w:szCs w:val="32"/>
        </w:rPr>
        <w:t>6.医疗服务：</w:t>
      </w:r>
      <w:r>
        <w:rPr>
          <w:rFonts w:hint="eastAsia"/>
          <w:sz w:val="32"/>
          <w:szCs w:val="32"/>
        </w:rPr>
        <w:t>社康中心诊疗量占区属医疗机构诊疗量百分比不低于60%，区属医疗机构平均住院日不高于8天，区属医疗机构病床使用率≥90%；</w:t>
      </w:r>
    </w:p>
    <w:p w14:paraId="2613D539">
      <w:pPr>
        <w:spacing w:before="0" w:beforeLines="0" w:after="0" w:afterLines="0" w:line="550" w:lineRule="exact"/>
        <w:ind w:firstLine="640" w:firstLineChars="200"/>
        <w:rPr>
          <w:sz w:val="32"/>
          <w:szCs w:val="32"/>
        </w:rPr>
      </w:pPr>
      <w:r>
        <w:rPr>
          <w:rFonts w:hint="eastAsia"/>
          <w:b/>
          <w:sz w:val="32"/>
          <w:szCs w:val="32"/>
        </w:rPr>
        <w:t xml:space="preserve">7.计划生育: </w:t>
      </w:r>
      <w:r>
        <w:rPr>
          <w:rFonts w:hint="eastAsia"/>
          <w:sz w:val="32"/>
          <w:szCs w:val="32"/>
        </w:rPr>
        <w:t>常住人口政策生育率≥90%。</w:t>
      </w:r>
    </w:p>
    <w:p w14:paraId="0DA95899">
      <w:pPr>
        <w:spacing w:before="163" w:after="163" w:line="550" w:lineRule="exact"/>
        <w:jc w:val="center"/>
        <w:rPr>
          <w:rFonts w:ascii="方正小标宋_GBK" w:hAnsi="方正小标宋_GBK" w:eastAsia="方正小标宋_GBK" w:cs="方正小标宋_GBK"/>
          <w:sz w:val="32"/>
          <w:szCs w:val="32"/>
        </w:rPr>
      </w:pPr>
      <w:bookmarkStart w:id="23" w:name="_Toc443406006"/>
      <w:bookmarkStart w:id="24" w:name="_Toc424340835"/>
      <w:r>
        <w:rPr>
          <w:rFonts w:hint="eastAsia" w:ascii="方正小标宋_GBK" w:hAnsi="方正小标宋_GBK" w:eastAsia="方正小标宋_GBK" w:cs="方正小标宋_GBK"/>
          <w:sz w:val="32"/>
          <w:szCs w:val="32"/>
        </w:rPr>
        <w:t>第三章 重点任务</w:t>
      </w:r>
      <w:bookmarkEnd w:id="23"/>
      <w:bookmarkEnd w:id="24"/>
    </w:p>
    <w:p w14:paraId="10169DDA">
      <w:pPr>
        <w:spacing w:before="0" w:beforeLines="0" w:after="0" w:afterLines="0" w:line="550" w:lineRule="exact"/>
        <w:ind w:firstLine="640" w:firstLineChars="200"/>
        <w:rPr>
          <w:rFonts w:ascii="黑体" w:hAnsi="黑体" w:eastAsia="黑体"/>
          <w:b/>
          <w:bCs/>
          <w:sz w:val="32"/>
          <w:szCs w:val="32"/>
        </w:rPr>
      </w:pPr>
      <w:r>
        <w:rPr>
          <w:rFonts w:hint="eastAsia" w:ascii="黑体" w:hAnsi="黑体" w:eastAsia="黑体"/>
          <w:sz w:val="32"/>
          <w:szCs w:val="32"/>
        </w:rPr>
        <w:t>一、推进公共卫生服务体系建设</w:t>
      </w:r>
    </w:p>
    <w:p w14:paraId="53E474B9">
      <w:pPr>
        <w:spacing w:before="0" w:beforeLines="0" w:after="0" w:afterLines="0" w:line="550" w:lineRule="exact"/>
        <w:ind w:firstLine="640" w:firstLineChars="200"/>
        <w:rPr>
          <w:rFonts w:ascii="楷体_GB2312" w:eastAsia="楷体_GB2312"/>
          <w:b/>
          <w:sz w:val="32"/>
          <w:szCs w:val="32"/>
        </w:rPr>
      </w:pPr>
      <w:r>
        <w:rPr>
          <w:rFonts w:hint="eastAsia" w:ascii="楷体_GB2312" w:eastAsia="楷体_GB2312"/>
          <w:b/>
          <w:sz w:val="32"/>
          <w:szCs w:val="32"/>
        </w:rPr>
        <w:t>（一）促进基本公共卫生服务均等化</w:t>
      </w:r>
    </w:p>
    <w:p w14:paraId="1D567EB4">
      <w:pPr>
        <w:spacing w:before="0" w:beforeLines="0" w:after="0" w:afterLines="0" w:line="550" w:lineRule="exact"/>
        <w:ind w:firstLine="640" w:firstLineChars="200"/>
        <w:rPr>
          <w:sz w:val="32"/>
          <w:szCs w:val="32"/>
        </w:rPr>
      </w:pPr>
      <w:r>
        <w:rPr>
          <w:rFonts w:hint="eastAsia"/>
          <w:sz w:val="32"/>
          <w:szCs w:val="32"/>
        </w:rPr>
        <w:t>扩展和增加服务内容，提高服务经费。根据人群健康服务需求和特点，针对妇女、儿童、老年人，在基本公共卫生服务项目的基础上，突出重点，逐步增加新项目，加强预防和控制重大疾病能力，规范高血压、糖尿病患者管理，提高老年人体质辨识和儿童中医调养服务覆盖率。逐步提高人均公共卫生服务经费，提高服务水平。</w:t>
      </w:r>
    </w:p>
    <w:p w14:paraId="69401E4D">
      <w:pPr>
        <w:spacing w:before="0" w:beforeLines="0" w:after="0" w:afterLines="0" w:line="550" w:lineRule="exact"/>
        <w:ind w:firstLine="640" w:firstLineChars="200"/>
        <w:rPr>
          <w:rFonts w:ascii="楷体_GB2312" w:eastAsia="楷体_GB2312"/>
          <w:b/>
          <w:sz w:val="32"/>
          <w:szCs w:val="32"/>
        </w:rPr>
      </w:pPr>
      <w:r>
        <w:rPr>
          <w:rFonts w:hint="eastAsia" w:ascii="楷体_GB2312" w:eastAsia="楷体_GB2312"/>
          <w:b/>
          <w:sz w:val="32"/>
          <w:szCs w:val="32"/>
        </w:rPr>
        <w:t>（二）推动妇幼健康服务工作加快发展</w:t>
      </w:r>
    </w:p>
    <w:p w14:paraId="21CA5705">
      <w:pPr>
        <w:spacing w:before="0" w:beforeLines="0" w:after="0" w:afterLines="0" w:line="550" w:lineRule="exact"/>
        <w:ind w:firstLine="640" w:firstLineChars="200"/>
        <w:rPr>
          <w:sz w:val="32"/>
          <w:szCs w:val="32"/>
        </w:rPr>
      </w:pPr>
      <w:r>
        <w:rPr>
          <w:rFonts w:hint="eastAsia"/>
          <w:sz w:val="32"/>
          <w:szCs w:val="32"/>
        </w:rPr>
        <w:t xml:space="preserve">推动妇幼健康服务工作加快发展。深入开展妇幼安康工程。加强孕产期保健服务及孕产妇系统管理，建立危重孕产妇和新生儿急救中心及绿色通道，加强高危孕产妇专案管理，加强产儿科安全管理，提高产儿科服务质量。推动妇幼卫生和计生服务项目融合。继续做好“降消”等妇幼安康工程项目。加强公共卫生项目监管、专题培训、规范落实，不断扩大服务覆盖面，满足辖区妇女儿童健康需求。  </w:t>
      </w:r>
    </w:p>
    <w:p w14:paraId="32C8CB15">
      <w:pPr>
        <w:spacing w:before="0" w:beforeLines="0" w:after="0" w:afterLines="0" w:line="550" w:lineRule="exact"/>
        <w:ind w:firstLine="640" w:firstLineChars="200"/>
        <w:rPr>
          <w:rFonts w:ascii="楷体_GB2312" w:eastAsia="楷体_GB2312"/>
          <w:b/>
          <w:sz w:val="32"/>
          <w:szCs w:val="32"/>
        </w:rPr>
      </w:pPr>
      <w:r>
        <w:rPr>
          <w:rFonts w:hint="eastAsia" w:ascii="楷体_GB2312" w:eastAsia="楷体_GB2312"/>
          <w:b/>
          <w:sz w:val="32"/>
          <w:szCs w:val="32"/>
        </w:rPr>
        <w:t>（三）加强慢性病监测与管理</w:t>
      </w:r>
    </w:p>
    <w:p w14:paraId="2703B6F5">
      <w:pPr>
        <w:spacing w:before="0" w:beforeLines="0" w:after="0" w:afterLines="0" w:line="550" w:lineRule="exact"/>
        <w:ind w:firstLine="640" w:firstLineChars="200"/>
        <w:rPr>
          <w:sz w:val="32"/>
          <w:szCs w:val="32"/>
        </w:rPr>
      </w:pPr>
      <w:r>
        <w:rPr>
          <w:rFonts w:hint="eastAsia"/>
          <w:sz w:val="32"/>
          <w:szCs w:val="32"/>
        </w:rPr>
        <w:t>大力加强慢性病监测与防治，强化精神卫生和心理干预工作。全面深化国家慢性病防治示范区工作，继续推行慢性病“三·三·三”综合防控策略，完善慢性病及其危险因素监测体系，加强慢性病高危人群发现和干预工作，开展高血压、糖尿病等基层综合防控，加强学校龋病防治工作，继续实施现代结核病控制策略，推进梅毒综合防控和重点性病规范化诊疗工作。完善多部门协作的精神卫生综合管理协调机制，开展精神卫生综合管理试点工作，加强严重精神障碍患者管理，防范严重精神障碍患者肇事肇祸，全面落实救治救助政策。探索建立精神卫生专业机构、社区康复机构及社会组织、家庭相互支持的精神障碍社区康复服务体系。继续推行“阳光心理、幸福福田”健康服务项目，加强辖区心理卫生能力建设。</w:t>
      </w:r>
    </w:p>
    <w:p w14:paraId="75D86BA2">
      <w:pPr>
        <w:spacing w:before="0" w:beforeLines="0" w:after="0" w:afterLines="0" w:line="550" w:lineRule="exact"/>
        <w:ind w:firstLine="640" w:firstLineChars="200"/>
        <w:rPr>
          <w:rFonts w:ascii="楷体_GB2312" w:eastAsia="楷体_GB2312"/>
          <w:b/>
          <w:sz w:val="32"/>
          <w:szCs w:val="32"/>
        </w:rPr>
      </w:pPr>
      <w:r>
        <w:rPr>
          <w:rFonts w:hint="eastAsia" w:ascii="楷体_GB2312" w:eastAsia="楷体_GB2312"/>
          <w:b/>
          <w:sz w:val="32"/>
          <w:szCs w:val="32"/>
        </w:rPr>
        <w:t>（四）提升疾病预防与控制能力</w:t>
      </w:r>
    </w:p>
    <w:p w14:paraId="19E09C9F">
      <w:pPr>
        <w:spacing w:before="0" w:beforeLines="0" w:after="0" w:afterLines="0" w:line="550" w:lineRule="exact"/>
        <w:ind w:firstLine="640" w:firstLineChars="200"/>
        <w:rPr>
          <w:sz w:val="32"/>
          <w:szCs w:val="32"/>
        </w:rPr>
      </w:pPr>
      <w:r>
        <w:rPr>
          <w:rFonts w:hint="eastAsia"/>
          <w:sz w:val="32"/>
          <w:szCs w:val="32"/>
        </w:rPr>
        <w:t>提升防控能力，夯实防控基础，健全分工协作机制。完善传染病监测体系，加强全人口死亡原因报告体系建设，2017年消除疟疾。加强和完善免疫规划体系建设，提高适龄儿童国家免疫规划疫苗接种率，逐步开展成人疫苗接种工作。提升公卫应急处置能力，完善公共卫生应急平台系统、应急预案体系和重大疫情联防联控协作机制。规范职业卫生技术服务，会同有关部门推进职业病防治工作。加强食品安全风险监测评估，扩大饮用水监测和空气污染对人群健康影响监测覆盖面，加强学校卫生监测与干预。建立病原基因库，提高对未知病原菌的检测能力，积极探索新项目、新方法，拓宽检验检测服务范围。提升疾病预警能力，运用疾病防控大数据库进行汇总分析，加强信息化建设，实现业务信息资源共享。</w:t>
      </w:r>
    </w:p>
    <w:p w14:paraId="7CCAE7BE">
      <w:pPr>
        <w:spacing w:before="0" w:beforeLines="0" w:after="0" w:afterLines="0" w:line="550" w:lineRule="exact"/>
        <w:ind w:firstLine="640" w:firstLineChars="200"/>
        <w:rPr>
          <w:rFonts w:ascii="楷体_GB2312" w:eastAsia="楷体_GB2312"/>
          <w:b/>
          <w:sz w:val="32"/>
          <w:szCs w:val="32"/>
        </w:rPr>
      </w:pPr>
      <w:r>
        <w:rPr>
          <w:rFonts w:hint="eastAsia" w:ascii="楷体_GB2312" w:eastAsia="楷体_GB2312"/>
          <w:b/>
          <w:sz w:val="32"/>
          <w:szCs w:val="32"/>
        </w:rPr>
        <w:t>（五）加强卫生监督执法</w:t>
      </w:r>
    </w:p>
    <w:p w14:paraId="17A329E9">
      <w:pPr>
        <w:spacing w:before="0" w:beforeLines="0" w:after="0" w:afterLines="0" w:line="550" w:lineRule="exact"/>
        <w:ind w:firstLine="640" w:firstLineChars="200"/>
        <w:rPr>
          <w:sz w:val="32"/>
          <w:szCs w:val="32"/>
        </w:rPr>
      </w:pPr>
      <w:r>
        <w:rPr>
          <w:rFonts w:hint="eastAsia" w:hAnsi="宋体" w:cs="Arial Unicode MS"/>
          <w:kern w:val="0"/>
          <w:sz w:val="32"/>
          <w:szCs w:val="32"/>
        </w:rPr>
        <w:t>创新卫生监督管理模式，深入推进卫生监督执法网格化管理，</w:t>
      </w:r>
      <w:r>
        <w:rPr>
          <w:rFonts w:hint="eastAsia"/>
          <w:snapToGrid w:val="0"/>
          <w:kern w:val="0"/>
          <w:sz w:val="32"/>
          <w:szCs w:val="32"/>
        </w:rPr>
        <w:t>将监管区域</w:t>
      </w:r>
      <w:r>
        <w:rPr>
          <w:snapToGrid w:val="0"/>
          <w:kern w:val="0"/>
          <w:sz w:val="32"/>
          <w:szCs w:val="32"/>
        </w:rPr>
        <w:t>划片分区，</w:t>
      </w:r>
      <w:r>
        <w:rPr>
          <w:rFonts w:hint="eastAsia"/>
          <w:sz w:val="32"/>
          <w:szCs w:val="32"/>
        </w:rPr>
        <w:t>按照“条块结合、以块为主、划片包干、综合执法”的工作思路，加强以区域责任制为主的职责分工，整合卫生监督执法力量，培养综合型卫生监督人才</w:t>
      </w:r>
      <w:r>
        <w:rPr>
          <w:rFonts w:hint="eastAsia"/>
          <w:snapToGrid w:val="0"/>
          <w:kern w:val="0"/>
          <w:sz w:val="32"/>
          <w:szCs w:val="32"/>
        </w:rPr>
        <w:t>。加快卫生监督法治建设，</w:t>
      </w:r>
      <w:r>
        <w:rPr>
          <w:rFonts w:hint="eastAsia"/>
          <w:sz w:val="32"/>
          <w:szCs w:val="32"/>
        </w:rPr>
        <w:t>进一步落实行政执法责任制，推进法治政府建设，提高行政权力运行透明度，规范梳理职权，强化行政服务质量</w:t>
      </w:r>
      <w:r>
        <w:rPr>
          <w:rFonts w:hint="eastAsia"/>
          <w:snapToGrid w:val="0"/>
          <w:kern w:val="0"/>
          <w:sz w:val="32"/>
          <w:szCs w:val="32"/>
        </w:rPr>
        <w:t>。提高卫生监督队伍整体素质，</w:t>
      </w:r>
      <w:r>
        <w:rPr>
          <w:rFonts w:hint="eastAsia" w:hAnsi="宋体" w:cs="宋体"/>
          <w:kern w:val="0"/>
          <w:sz w:val="32"/>
          <w:szCs w:val="32"/>
        </w:rPr>
        <w:t>有针对性地开展卫生执法人员的法制教育、行政管理和业务培训，进一步优化卫生执法人员知识结构，使卫生执法人员从传统业务型向法制型、综合型转变，提高队伍整体素质</w:t>
      </w:r>
      <w:r>
        <w:rPr>
          <w:rFonts w:hint="eastAsia"/>
          <w:snapToGrid w:val="0"/>
          <w:kern w:val="0"/>
          <w:sz w:val="32"/>
          <w:szCs w:val="32"/>
        </w:rPr>
        <w:t>。优化卫生监督执法方式，</w:t>
      </w:r>
      <w:r>
        <w:rPr>
          <w:rFonts w:hint="eastAsia"/>
          <w:sz w:val="32"/>
          <w:szCs w:val="32"/>
        </w:rPr>
        <w:t>探索分类分级、风险评估的医疗机构监管新模式，构建行业、社会、政府、宣传“四位一体”监管网络，积极督促医疗机构守法经营、健康发展。</w:t>
      </w:r>
    </w:p>
    <w:p w14:paraId="2C67A676">
      <w:pPr>
        <w:spacing w:before="0" w:beforeLines="0" w:after="0" w:afterLines="0" w:line="550" w:lineRule="exact"/>
        <w:ind w:firstLine="640" w:firstLineChars="200"/>
        <w:rPr>
          <w:rFonts w:ascii="楷体_GB2312" w:eastAsia="楷体_GB2312"/>
          <w:b/>
          <w:sz w:val="32"/>
          <w:szCs w:val="32"/>
        </w:rPr>
      </w:pPr>
      <w:r>
        <w:rPr>
          <w:rFonts w:hint="eastAsia" w:ascii="楷体_GB2312" w:eastAsia="楷体_GB2312"/>
          <w:b/>
          <w:sz w:val="32"/>
          <w:szCs w:val="32"/>
        </w:rPr>
        <w:t>（六）强化健康促进</w:t>
      </w:r>
    </w:p>
    <w:p w14:paraId="098F4588">
      <w:pPr>
        <w:spacing w:before="0" w:beforeLines="0" w:after="0" w:afterLines="0" w:line="550" w:lineRule="exact"/>
        <w:ind w:firstLine="640" w:firstLineChars="200"/>
        <w:rPr>
          <w:sz w:val="32"/>
          <w:szCs w:val="32"/>
        </w:rPr>
      </w:pPr>
      <w:r>
        <w:rPr>
          <w:rFonts w:hint="eastAsia"/>
          <w:sz w:val="32"/>
          <w:szCs w:val="32"/>
        </w:rPr>
        <w:t>大力开展健康教育与健康促进工作。加强健康教育体系建设，加大经费投入，改善工作人员不足的现状。以规范化建设为基础，进一步健全健康教育服务网络体系，深入推进“双百工程”。构建立体多维传播体系，促进健康素养知识传播普及，推广“健康素养66条”。充分利用传统媒体和新媒体，大力宣传健康知识、健康理念、健康行为和健康生活方式继续推进双百工程。完善健康素养监测体系，开展健康素养监测，有针对性的开展健康促进行动，培养人群健康行为。推动健康促进场所示范点创建。加强控烟宣传。加强对重点人群的健教干预工作。</w:t>
      </w:r>
    </w:p>
    <w:p w14:paraId="3FD89DB5">
      <w:pPr>
        <w:spacing w:before="0" w:beforeLines="0" w:after="0" w:afterLines="0" w:line="550" w:lineRule="exact"/>
        <w:ind w:firstLine="640" w:firstLineChars="200"/>
        <w:rPr>
          <w:sz w:val="32"/>
          <w:szCs w:val="32"/>
        </w:rPr>
      </w:pPr>
      <w:r>
        <w:rPr>
          <w:rFonts w:hint="eastAsia" w:ascii="黑体" w:hAnsi="黑体" w:eastAsia="黑体"/>
          <w:sz w:val="32"/>
          <w:szCs w:val="32"/>
        </w:rPr>
        <w:t>二、推进医疗卫生服务体系建设</w:t>
      </w:r>
    </w:p>
    <w:p w14:paraId="1A13428F">
      <w:pPr>
        <w:spacing w:before="0" w:beforeLines="0" w:after="0" w:afterLines="0" w:line="550" w:lineRule="exact"/>
        <w:ind w:firstLine="640" w:firstLineChars="200"/>
        <w:rPr>
          <w:rFonts w:ascii="楷体_GB2312" w:eastAsia="楷体_GB2312"/>
          <w:b/>
          <w:sz w:val="32"/>
          <w:szCs w:val="32"/>
        </w:rPr>
      </w:pPr>
      <w:r>
        <w:rPr>
          <w:rFonts w:hint="eastAsia" w:ascii="楷体_GB2312" w:eastAsia="楷体_GB2312"/>
          <w:b/>
          <w:sz w:val="32"/>
          <w:szCs w:val="32"/>
        </w:rPr>
        <w:t>（一）区级医疗机构内涵建设</w:t>
      </w:r>
    </w:p>
    <w:p w14:paraId="4D261298">
      <w:pPr>
        <w:spacing w:before="0" w:beforeLines="0" w:after="0" w:afterLines="0" w:line="550" w:lineRule="exact"/>
        <w:ind w:firstLine="640" w:firstLineChars="200"/>
        <w:rPr>
          <w:b/>
          <w:bCs/>
          <w:sz w:val="32"/>
          <w:szCs w:val="32"/>
        </w:rPr>
      </w:pPr>
      <w:r>
        <w:rPr>
          <w:rFonts w:hint="eastAsia"/>
          <w:b/>
          <w:bCs/>
          <w:sz w:val="32"/>
          <w:szCs w:val="32"/>
        </w:rPr>
        <w:t>1.明确功能定位，走差异化发展之路</w:t>
      </w:r>
    </w:p>
    <w:p w14:paraId="0D37F719">
      <w:pPr>
        <w:spacing w:before="0" w:beforeLines="0" w:after="0" w:afterLines="0" w:line="550" w:lineRule="exact"/>
        <w:ind w:firstLine="640" w:firstLineChars="200"/>
        <w:rPr>
          <w:sz w:val="32"/>
          <w:szCs w:val="32"/>
        </w:rPr>
      </w:pPr>
      <w:r>
        <w:rPr>
          <w:rFonts w:hint="eastAsia"/>
          <w:sz w:val="32"/>
          <w:szCs w:val="32"/>
        </w:rPr>
        <w:t>明确区属医疗机构功能定位。结合福田辖区市级高端医疗资源集中的现状，分析自身优势，明确各自功能定位，发展特色专科与优势专科，保障基本医疗服务。</w:t>
      </w:r>
    </w:p>
    <w:p w14:paraId="15E83068">
      <w:pPr>
        <w:spacing w:before="0" w:beforeLines="0" w:after="0" w:afterLines="0" w:line="550" w:lineRule="exact"/>
        <w:ind w:firstLine="640" w:firstLineChars="200"/>
        <w:rPr>
          <w:b/>
          <w:bCs/>
          <w:sz w:val="32"/>
          <w:szCs w:val="32"/>
        </w:rPr>
      </w:pPr>
      <w:r>
        <w:rPr>
          <w:rFonts w:hint="eastAsia"/>
          <w:sz w:val="32"/>
          <w:szCs w:val="32"/>
        </w:rPr>
        <w:t>（1）医疗机构</w:t>
      </w:r>
    </w:p>
    <w:p w14:paraId="3C3CD725">
      <w:pPr>
        <w:spacing w:before="0" w:beforeLines="0" w:after="0" w:afterLines="0" w:line="550" w:lineRule="exact"/>
        <w:ind w:firstLine="640" w:firstLineChars="200"/>
        <w:rPr>
          <w:sz w:val="32"/>
          <w:szCs w:val="32"/>
        </w:rPr>
      </w:pPr>
      <w:r>
        <w:rPr>
          <w:rFonts w:hint="eastAsia"/>
          <w:sz w:val="32"/>
          <w:szCs w:val="32"/>
        </w:rPr>
        <w:t>——区人民医院  按照“区域龙头、上下联动、专科辐射、全面发展”的发展思路，创建三级甲等综合医院，成为福田区医疗联合体牵头医院，加强上下两级医疗机构分工协作，发挥优势专科辐射作用，全面提升服务能力。加强学科建设，促进医、教、研全面协调发展，力争整体技术水平和综合实力位居全市先进行列。推进与中山大学合作共建中山大学附属第八医院，</w:t>
      </w:r>
      <w:r>
        <w:rPr>
          <w:rFonts w:hint="eastAsia" w:ascii="仿宋" w:hAnsi="仿宋" w:eastAsia="仿宋"/>
          <w:color w:val="000000" w:themeColor="text1"/>
          <w:sz w:val="32"/>
          <w:szCs w:val="32"/>
          <w14:textFill>
            <w14:solidFill>
              <w14:schemeClr w14:val="tx1"/>
            </w14:solidFill>
          </w14:textFill>
        </w:rPr>
        <w:t>建成具备高水平的国内知名医院</w:t>
      </w:r>
      <w:r>
        <w:rPr>
          <w:rFonts w:hint="eastAsia"/>
          <w:sz w:val="32"/>
          <w:szCs w:val="32"/>
        </w:rPr>
        <w:t>。至2020年，床位数1000张，新增国家和省级重点专科各1个，新增市级重点专科1-2个，新增博士生导师1-2名，新增硕士培养点1-2个，力争省级、国家级科技创新奖有所突破。</w:t>
      </w:r>
    </w:p>
    <w:p w14:paraId="6D7D968C">
      <w:pPr>
        <w:spacing w:before="0" w:beforeLines="0" w:after="0" w:afterLines="0" w:line="550" w:lineRule="exact"/>
        <w:ind w:firstLine="640" w:firstLineChars="200"/>
        <w:rPr>
          <w:sz w:val="32"/>
          <w:szCs w:val="32"/>
        </w:rPr>
      </w:pPr>
      <w:r>
        <w:rPr>
          <w:rFonts w:hint="eastAsia"/>
          <w:sz w:val="32"/>
          <w:szCs w:val="32"/>
        </w:rPr>
        <w:t>——区中医院  按照“中医办院、差异发展、行业领先、突出特色”的发展思路，建成特色鲜明、优势突出的现代化三级甲等中医院。完善科室设置与规划，进一步健全一、二级专业科室设置。重点发展康复专科、老年病专科、中医妇科、中医骨伤科、心脑血管科、治未病科。全面推进与广州中医药大学共建管理运行新模式。</w:t>
      </w:r>
      <w:r>
        <w:rPr>
          <w:rFonts w:hint="eastAsia"/>
          <w:color w:val="000000"/>
          <w:sz w:val="32"/>
          <w:szCs w:val="32"/>
        </w:rPr>
        <w:t>以区中医院为龙头，联合辖区内各级各类中医医疗机构，组建中医药学科联盟，提高中医药服务能力。</w:t>
      </w:r>
      <w:r>
        <w:rPr>
          <w:rFonts w:hint="eastAsia"/>
          <w:sz w:val="32"/>
          <w:szCs w:val="32"/>
        </w:rPr>
        <w:t>至2020年，床位数800张，建设国家级水平医学重点专科不少于2个，省级重点专科不少于4个。</w:t>
      </w:r>
    </w:p>
    <w:p w14:paraId="1856C3A0">
      <w:pPr>
        <w:spacing w:before="0" w:beforeLines="0" w:after="0" w:afterLines="0" w:line="550" w:lineRule="exact"/>
        <w:ind w:firstLine="640" w:firstLineChars="200"/>
        <w:rPr>
          <w:sz w:val="32"/>
          <w:szCs w:val="32"/>
        </w:rPr>
      </w:pPr>
      <w:r>
        <w:rPr>
          <w:rFonts w:hint="eastAsia"/>
          <w:sz w:val="32"/>
          <w:szCs w:val="32"/>
        </w:rPr>
        <w:t>——区第二人民医院  按照“立足基本、拓展专科、面向社会、服务梅林”的发展思路，创建二级甲等医院。完善二级学科设置，加大人才引进力度，提升医院综合实力，建立以肾病科和老年学科为主的综合型医院。至2020年，床位数300张，新增二级学科2-3个、市级重点专科1个、区级重点专科2-3个。</w:t>
      </w:r>
    </w:p>
    <w:p w14:paraId="09DF3554">
      <w:pPr>
        <w:spacing w:before="0" w:beforeLines="0" w:after="0" w:afterLines="0" w:line="550" w:lineRule="exact"/>
        <w:ind w:firstLine="640" w:firstLineChars="200"/>
        <w:rPr>
          <w:sz w:val="32"/>
          <w:szCs w:val="32"/>
        </w:rPr>
      </w:pPr>
      <w:r>
        <w:rPr>
          <w:rFonts w:hint="eastAsia"/>
          <w:sz w:val="32"/>
          <w:szCs w:val="32"/>
        </w:rPr>
        <w:t>——区属专科医院  按照“专科发展、服务群众、突出特色、优质服务”的发展思路，选址安托山，按三级专科医院规模新建妇儿医院，承担辖区妇女、儿童常见病、多发病的诊疗工作，满足不断增长的妇女及儿童医疗服务需求。探索将现有的</w:t>
      </w:r>
      <w:r>
        <w:rPr>
          <w:rFonts w:hint="eastAsia"/>
          <w:color w:val="000000"/>
          <w:sz w:val="32"/>
          <w:szCs w:val="32"/>
        </w:rPr>
        <w:t>肛肠医院、风湿病医院</w:t>
      </w:r>
      <w:r>
        <w:rPr>
          <w:rFonts w:hint="eastAsia"/>
          <w:sz w:val="32"/>
          <w:szCs w:val="32"/>
        </w:rPr>
        <w:t>独立运作，创建以肛肠专科和风湿病专科为主的二级专科医院，力争专科优势处于华南地区先进行列。</w:t>
      </w:r>
    </w:p>
    <w:p w14:paraId="386A2A29">
      <w:pPr>
        <w:spacing w:before="0" w:beforeLines="0" w:after="0" w:afterLines="0" w:line="550" w:lineRule="exact"/>
        <w:ind w:firstLine="640" w:firstLineChars="200"/>
        <w:rPr>
          <w:b/>
          <w:bCs/>
          <w:sz w:val="32"/>
          <w:szCs w:val="32"/>
        </w:rPr>
      </w:pPr>
      <w:r>
        <w:rPr>
          <w:rFonts w:hint="eastAsia"/>
          <w:sz w:val="32"/>
          <w:szCs w:val="32"/>
        </w:rPr>
        <w:t>（2）医防融合型医疗卫生机构</w:t>
      </w:r>
    </w:p>
    <w:p w14:paraId="7A8A4231">
      <w:pPr>
        <w:spacing w:before="0" w:beforeLines="0" w:after="0" w:afterLines="0" w:line="550" w:lineRule="exact"/>
        <w:ind w:firstLine="640" w:firstLineChars="200"/>
        <w:rPr>
          <w:sz w:val="32"/>
          <w:szCs w:val="32"/>
        </w:rPr>
      </w:pPr>
      <w:r>
        <w:rPr>
          <w:rFonts w:hint="eastAsia"/>
          <w:sz w:val="32"/>
          <w:szCs w:val="32"/>
        </w:rPr>
        <w:t>——区妇幼保健院  按照“突出保健、拓展功能、完善临床、提高水平”的发展思路，以妇幼保健、诊疗和计划生育服务中心，坚持保健与临床相结合的学科建设方向，建设特色鲜明、富有优势、水平领先的妇幼保健机构。</w:t>
      </w:r>
    </w:p>
    <w:p w14:paraId="45C6D0F1">
      <w:pPr>
        <w:spacing w:before="0" w:beforeLines="0" w:after="0" w:afterLines="0" w:line="550" w:lineRule="exact"/>
        <w:ind w:firstLine="640" w:firstLineChars="200"/>
        <w:rPr>
          <w:sz w:val="32"/>
          <w:szCs w:val="32"/>
        </w:rPr>
      </w:pPr>
      <w:r>
        <w:rPr>
          <w:rFonts w:hint="eastAsia"/>
          <w:sz w:val="32"/>
          <w:szCs w:val="32"/>
        </w:rPr>
        <w:t>——区慢病院  按照“突出防控、强化专科、防治结合、协调发展”的发展思路，采取“针对三种人群、抓好三个环节、实施三种手段”的防治策略，探索“五个结合”（预防与治疗相结合、中医与西医相结合、群体与个体相结合、医院与社区相结合、项目管理与策略研究相结合）的防治结合型发展模式。加快人才队伍建设，突出公共卫生人员和临床专科人员队伍建设。提升慢性病康复和心理卫生业务能力。深化全国慢性病综合示范区建设。深入推进精神卫生综合管理试点工作和“阳光心理、幸福福田”工程。</w:t>
      </w:r>
    </w:p>
    <w:p w14:paraId="39A3C61F">
      <w:pPr>
        <w:spacing w:before="0" w:beforeLines="0" w:after="0" w:afterLines="0" w:line="550" w:lineRule="exact"/>
        <w:ind w:firstLine="640" w:firstLineChars="200"/>
        <w:rPr>
          <w:b/>
          <w:bCs/>
          <w:sz w:val="32"/>
          <w:szCs w:val="32"/>
        </w:rPr>
      </w:pPr>
      <w:r>
        <w:rPr>
          <w:rFonts w:hint="eastAsia"/>
          <w:b/>
          <w:sz w:val="32"/>
          <w:szCs w:val="32"/>
        </w:rPr>
        <w:t>2.建立运行新机制，走精细化发展之路</w:t>
      </w:r>
    </w:p>
    <w:p w14:paraId="7F497A33">
      <w:pPr>
        <w:spacing w:before="0" w:beforeLines="0" w:after="0" w:afterLines="0" w:line="550" w:lineRule="exact"/>
        <w:ind w:firstLine="640" w:firstLineChars="200"/>
        <w:rPr>
          <w:sz w:val="32"/>
          <w:szCs w:val="32"/>
        </w:rPr>
      </w:pPr>
      <w:r>
        <w:rPr>
          <w:rFonts w:hint="eastAsia"/>
          <w:sz w:val="32"/>
          <w:szCs w:val="32"/>
        </w:rPr>
        <w:t>强化公立医院精细化管理。加强医院财务会计管理，强化成本核算与控制，落实三级公立医院总会计师制度。推进公立医院后勤服务社会化。加强医疗质量管理与控制，推动区级医疗质控中心建设发展。全面开展改善医疗服务行动，加强预约和分诊管理，不断优化医疗服务流程，改善患者就医环境和就医体验，深入开展优质护理服务。</w:t>
      </w:r>
    </w:p>
    <w:p w14:paraId="7B69C157">
      <w:pPr>
        <w:spacing w:before="0" w:beforeLines="0" w:after="0" w:afterLines="0" w:line="550" w:lineRule="exact"/>
        <w:ind w:firstLine="640" w:firstLineChars="200"/>
        <w:rPr>
          <w:sz w:val="32"/>
          <w:szCs w:val="32"/>
        </w:rPr>
      </w:pPr>
      <w:r>
        <w:rPr>
          <w:rFonts w:hint="eastAsia"/>
          <w:sz w:val="32"/>
          <w:szCs w:val="32"/>
        </w:rPr>
        <w:t>强化医务人员绩效考核。公立医院内部考核与奖惩，突出岗位工作量、服务质量、行为规范、技术能力、医德医风和患者满意度，将考核结果与医务人员的岗位聘用、职称晋升、个人薪酬挂钩。尊重医务人员劳动，维护医务人员合法权益。健全调解机制，鼓励医疗机构和医师个人购买医疗责任保险等医疗执业保险，优化执业环境。</w:t>
      </w:r>
    </w:p>
    <w:p w14:paraId="520E0A87">
      <w:pPr>
        <w:spacing w:before="0" w:beforeLines="0" w:after="0" w:afterLines="0" w:line="550" w:lineRule="exact"/>
        <w:ind w:firstLine="640" w:firstLineChars="200"/>
        <w:rPr>
          <w:b/>
          <w:sz w:val="32"/>
          <w:szCs w:val="32"/>
        </w:rPr>
      </w:pPr>
      <w:r>
        <w:rPr>
          <w:rFonts w:hint="eastAsia"/>
          <w:b/>
          <w:sz w:val="32"/>
          <w:szCs w:val="32"/>
        </w:rPr>
        <w:t>3.加强全面监管，走规范化发展之路</w:t>
      </w:r>
    </w:p>
    <w:p w14:paraId="17DEEDB2">
      <w:pPr>
        <w:spacing w:before="0" w:beforeLines="0" w:after="0" w:afterLines="0" w:line="550" w:lineRule="exact"/>
        <w:ind w:firstLine="640" w:firstLineChars="200"/>
        <w:rPr>
          <w:sz w:val="32"/>
          <w:szCs w:val="32"/>
        </w:rPr>
      </w:pPr>
      <w:r>
        <w:rPr>
          <w:rFonts w:hint="eastAsia"/>
          <w:sz w:val="32"/>
          <w:szCs w:val="32"/>
        </w:rPr>
        <w:t>建立以公益性为导向的公立医院考核评价体系。以功能定位、职责履行、费用控制、运行绩效、财务管理、成本控制和社会满意度等指标为核心，定期组织公立医院绩效考核以及院长年度和任期目标责任考核，并与医院财政补助、院长任免奖惩等挂钩，形成科学合理、公平公正、高效灵敏的激励约束机制。</w:t>
      </w:r>
    </w:p>
    <w:p w14:paraId="2A77C5F1">
      <w:pPr>
        <w:spacing w:before="0" w:beforeLines="0" w:after="0" w:afterLines="0" w:line="550" w:lineRule="exact"/>
        <w:ind w:firstLine="640" w:firstLineChars="200"/>
        <w:rPr>
          <w:sz w:val="32"/>
          <w:szCs w:val="32"/>
        </w:rPr>
      </w:pPr>
      <w:r>
        <w:rPr>
          <w:rFonts w:hint="eastAsia"/>
          <w:sz w:val="32"/>
          <w:szCs w:val="32"/>
        </w:rPr>
        <w:t>推广实施临床路径。综合考虑医疗服务质量安全、基本医疗需求等因素制定临床路径，加快推进临床路径管理。依据《临床诊疗指南》、《临床技术操作规范》、《国家基本药物目录》和《中国国家处方集》等规范性文件，进一步细化各病种临床路径表单，优化诊疗流程，明确治疗药物，限定耗材种类，确定入、出院标准。到2020年底，实施临床路径管理的病例数要达到区属公立医院出院病例数的50%。</w:t>
      </w:r>
    </w:p>
    <w:p w14:paraId="39678766">
      <w:pPr>
        <w:spacing w:before="0" w:beforeLines="0" w:after="0" w:afterLines="0" w:line="550" w:lineRule="exact"/>
        <w:ind w:firstLine="640" w:firstLineChars="200"/>
        <w:rPr>
          <w:sz w:val="32"/>
          <w:szCs w:val="32"/>
        </w:rPr>
      </w:pPr>
      <w:r>
        <w:rPr>
          <w:rFonts w:hint="eastAsia"/>
          <w:sz w:val="32"/>
          <w:szCs w:val="32"/>
        </w:rPr>
        <w:t>完善多方监管机制。强化对医院经济运行和财务活动的会计监督，加强审计监督。加强医院信息公开，建立定期公示制度，运用信息系统采集数据，重点公开财务状况、绩效考核、质量安全、价格和医疗费用等信息。充分发挥行业协会、学会等社会组织作用，加强行业自律、监督和职业道德建设，引导医疗机构依法经营、严格自律。发挥人大、监察、审计机关以及社会层面的监督作用。探索对公立医院进行第三方专业机构评价，强化社会监督。</w:t>
      </w:r>
    </w:p>
    <w:p w14:paraId="68EDCADB">
      <w:pPr>
        <w:spacing w:before="0" w:beforeLines="0" w:after="0" w:afterLines="0" w:line="55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color w:val="000000"/>
          <w:sz w:val="32"/>
          <w:szCs w:val="32"/>
        </w:rPr>
        <w:t>（二）社康中心基本服务能力建设</w:t>
      </w:r>
    </w:p>
    <w:p w14:paraId="58AA9D7F">
      <w:pPr>
        <w:spacing w:before="0" w:beforeLines="0" w:after="0" w:afterLines="0" w:line="550" w:lineRule="exact"/>
        <w:ind w:firstLine="640" w:firstLineChars="200"/>
        <w:rPr>
          <w:rFonts w:hAnsi="楷体_GB2312" w:cs="楷体_GB2312"/>
          <w:b/>
          <w:color w:val="000000"/>
          <w:sz w:val="32"/>
          <w:szCs w:val="32"/>
        </w:rPr>
      </w:pPr>
      <w:r>
        <w:rPr>
          <w:rFonts w:hint="eastAsia"/>
          <w:b/>
          <w:color w:val="000000"/>
          <w:sz w:val="32"/>
          <w:szCs w:val="32"/>
        </w:rPr>
        <w:t>1.落实政府责任，逐步理顺社康中心管理体制</w:t>
      </w:r>
    </w:p>
    <w:p w14:paraId="4633FAFA">
      <w:pPr>
        <w:spacing w:before="0" w:beforeLines="0" w:after="0" w:afterLines="0" w:line="550" w:lineRule="exact"/>
        <w:ind w:firstLine="640" w:firstLineChars="200"/>
        <w:rPr>
          <w:color w:val="000000"/>
          <w:sz w:val="32"/>
          <w:szCs w:val="32"/>
        </w:rPr>
      </w:pPr>
      <w:r>
        <w:rPr>
          <w:rFonts w:hint="eastAsia"/>
          <w:color w:val="000000"/>
          <w:sz w:val="32"/>
          <w:szCs w:val="32"/>
        </w:rPr>
        <w:t>加快推进社康中心标准化建设。制定区域性社康中心建设标准,在每个街道至少建成1-2家业务用房达到1000-2000平方米、医生和设备配备达标、社区健康服务功能完善、服务辐射整个街道的社康中心。加快推进区域性社康中心建设，形成“1（区域性社康中心)+N（社康站）+1（日间照料中心）”的医养结合服务体系，确保人、财、设备、业务用房优先配置与投入。落实政府责任，逐步解决社康中心业务用房难题。至2020年，力争实现社康中心自有用房比例50%。</w:t>
      </w:r>
    </w:p>
    <w:p w14:paraId="6D244A6C">
      <w:pPr>
        <w:spacing w:before="0" w:beforeLines="0" w:after="0" w:afterLines="0" w:line="550" w:lineRule="exact"/>
        <w:ind w:firstLine="640" w:firstLineChars="200"/>
        <w:rPr>
          <w:color w:val="000000"/>
          <w:sz w:val="32"/>
          <w:szCs w:val="32"/>
        </w:rPr>
      </w:pPr>
      <w:r>
        <w:rPr>
          <w:rFonts w:hint="eastAsia"/>
          <w:color w:val="000000"/>
          <w:sz w:val="32"/>
          <w:szCs w:val="32"/>
        </w:rPr>
        <w:t>探索适宜的社康中心一体化管理体制。探索建立有利于发挥区域性社康中心一体化管理服务功能的管理模式，实施管理、财务、人员、服务、药品、信息等一体化管理。按照管办分开的原则，理顺社康中心管理模式。逐步统一不同医院管理下社康中心的科室设置、服务项目、药品目录。</w:t>
      </w:r>
    </w:p>
    <w:p w14:paraId="3E14AF5D">
      <w:pPr>
        <w:spacing w:before="0" w:beforeLines="0" w:after="0" w:afterLines="0" w:line="550" w:lineRule="exact"/>
        <w:ind w:firstLine="640" w:firstLineChars="200"/>
        <w:rPr>
          <w:b/>
          <w:bCs/>
          <w:sz w:val="32"/>
          <w:szCs w:val="32"/>
        </w:rPr>
      </w:pPr>
      <w:r>
        <w:rPr>
          <w:rFonts w:hint="eastAsia"/>
          <w:b/>
          <w:bCs/>
          <w:sz w:val="32"/>
          <w:szCs w:val="32"/>
        </w:rPr>
        <w:t xml:space="preserve">2.深化家庭医生服务内涵 </w:t>
      </w:r>
    </w:p>
    <w:p w14:paraId="237B7F64">
      <w:pPr>
        <w:spacing w:before="0" w:beforeLines="0" w:after="0" w:afterLines="0" w:line="550" w:lineRule="exact"/>
        <w:ind w:firstLine="640" w:firstLineChars="200"/>
        <w:rPr>
          <w:rFonts w:ascii="楷体" w:hAnsi="楷体" w:eastAsia="楷体" w:cs="Calibri"/>
          <w:b/>
          <w:color w:val="000000"/>
          <w:sz w:val="32"/>
          <w:szCs w:val="32"/>
        </w:rPr>
      </w:pPr>
      <w:r>
        <w:rPr>
          <w:rFonts w:hint="eastAsia" w:hAnsi="Times New Roman" w:cs="Times New Roman"/>
          <w:color w:val="000000"/>
          <w:sz w:val="32"/>
          <w:szCs w:val="32"/>
        </w:rPr>
        <w:t>稳妥推进完善家庭医生制度，持续推进家庭医生服务计划，做好全区65岁及以上老年人免费健康体检项目，加强后续健康干预和配套服务，提升重点人群服务管理水平。</w:t>
      </w:r>
      <w:r>
        <w:rPr>
          <w:rFonts w:hint="eastAsia" w:ascii="仿宋" w:hAnsi="仿宋" w:eastAsia="仿宋" w:cs="仿宋"/>
          <w:color w:val="000000"/>
          <w:sz w:val="32"/>
          <w:szCs w:val="32"/>
        </w:rPr>
        <w:t>深入开展社康中心与托养机构“医养结合”项目，规范服务标准，</w:t>
      </w:r>
      <w:r>
        <w:rPr>
          <w:rFonts w:hint="eastAsia" w:cs="Calibri"/>
          <w:color w:val="000000"/>
          <w:sz w:val="32"/>
          <w:szCs w:val="32"/>
        </w:rPr>
        <w:t>促进医疗卫生服务与养老服务资源、服务项目、服务链条整合，为老年人提供照护陪护、医疗护理于一体的综合性健康管理服务。</w:t>
      </w:r>
      <w:r>
        <w:rPr>
          <w:rFonts w:hint="eastAsia" w:ascii="仿宋" w:hAnsi="仿宋" w:eastAsia="仿宋" w:cs="仿宋"/>
          <w:color w:val="000000"/>
          <w:sz w:val="32"/>
          <w:szCs w:val="32"/>
        </w:rPr>
        <w:t>持续开展“中医进社区”服务，积极巩固国家中医药服务先进单位（示范区）创建成果，</w:t>
      </w:r>
      <w:r>
        <w:rPr>
          <w:rFonts w:hint="eastAsia" w:hAnsi="仿宋" w:cs="Calibri"/>
          <w:color w:val="000000"/>
          <w:sz w:val="32"/>
          <w:szCs w:val="32"/>
        </w:rPr>
        <w:t>推进中医药在家庭医生服务中的应用。</w:t>
      </w:r>
    </w:p>
    <w:p w14:paraId="7063DA99">
      <w:pPr>
        <w:spacing w:before="0" w:beforeLines="0" w:after="0" w:afterLines="0" w:line="550" w:lineRule="exact"/>
        <w:ind w:firstLine="640" w:firstLineChars="200"/>
        <w:rPr>
          <w:rFonts w:ascii="楷体_GB2312" w:hAnsi="黑体" w:eastAsia="楷体_GB2312"/>
          <w:b/>
          <w:bCs/>
          <w:sz w:val="32"/>
          <w:szCs w:val="32"/>
        </w:rPr>
      </w:pPr>
      <w:r>
        <w:rPr>
          <w:rFonts w:hint="eastAsia" w:ascii="楷体_GB2312" w:hAnsi="楷体_GB2312" w:eastAsia="楷体_GB2312" w:cs="楷体_GB2312"/>
          <w:b/>
          <w:sz w:val="32"/>
          <w:szCs w:val="32"/>
        </w:rPr>
        <w:t>（三）中医药服务能力建设</w:t>
      </w:r>
    </w:p>
    <w:p w14:paraId="6EF1E773">
      <w:pPr>
        <w:spacing w:before="0" w:beforeLines="0" w:after="0" w:afterLines="0" w:line="550" w:lineRule="exact"/>
        <w:ind w:firstLine="640" w:firstLineChars="200"/>
        <w:rPr>
          <w:b/>
          <w:sz w:val="32"/>
          <w:szCs w:val="32"/>
        </w:rPr>
      </w:pPr>
      <w:r>
        <w:rPr>
          <w:rFonts w:hint="eastAsia"/>
          <w:b/>
          <w:sz w:val="32"/>
          <w:szCs w:val="32"/>
        </w:rPr>
        <w:t>1.加快发展中医医疗服务</w:t>
      </w:r>
    </w:p>
    <w:p w14:paraId="640FE628">
      <w:pPr>
        <w:spacing w:before="0" w:beforeLines="0" w:after="0" w:afterLines="0" w:line="550" w:lineRule="exact"/>
        <w:ind w:firstLine="640" w:firstLineChars="200"/>
        <w:rPr>
          <w:sz w:val="32"/>
          <w:szCs w:val="32"/>
        </w:rPr>
      </w:pPr>
      <w:r>
        <w:rPr>
          <w:rFonts w:hint="eastAsia"/>
          <w:sz w:val="32"/>
          <w:szCs w:val="32"/>
        </w:rPr>
        <w:t>加强基层中医药服务能力建设。在社康中心和其他基层医疗机构建设中医临床科室集中设置、多种中医药方法和手段综合使用的中医药特色诊疗区，规范中医诊疗设备配备。加强基层医疗卫生机构非中医类医生中医药适宜技术培训。针对部分基层常见病种，推广实施中药验方，规范中药饮片的使用和管理。</w:t>
      </w:r>
    </w:p>
    <w:p w14:paraId="527B5728">
      <w:pPr>
        <w:spacing w:before="0" w:beforeLines="0" w:after="0" w:afterLines="0" w:line="550" w:lineRule="exact"/>
        <w:ind w:firstLine="640" w:firstLineChars="200"/>
        <w:rPr>
          <w:sz w:val="32"/>
          <w:szCs w:val="32"/>
        </w:rPr>
      </w:pPr>
      <w:r>
        <w:rPr>
          <w:rFonts w:hint="eastAsia"/>
          <w:sz w:val="32"/>
          <w:szCs w:val="32"/>
        </w:rPr>
        <w:t>创新中医医疗机构服务模式。转变中医医院服务模式，推进多种方法综合干预，推动医疗服务从注重疾病治疗转向注重健康维护，发展治未病、康复等服务。支持中医医院输出管理、技术、标准和服务产品，与基层医疗卫生机构组建医疗联合体。推动中医门诊部、中医诊所和中医坐堂医诊所规范建设和连锁发展。</w:t>
      </w:r>
    </w:p>
    <w:p w14:paraId="4BBB8982">
      <w:pPr>
        <w:spacing w:before="0" w:beforeLines="0" w:after="0" w:afterLines="0" w:line="550" w:lineRule="exact"/>
        <w:ind w:firstLine="640" w:firstLineChars="200"/>
        <w:rPr>
          <w:rFonts w:hAnsi="楷体_GB2312" w:cs="楷体_GB2312"/>
          <w:b/>
          <w:sz w:val="32"/>
          <w:szCs w:val="32"/>
        </w:rPr>
      </w:pPr>
      <w:r>
        <w:rPr>
          <w:rFonts w:hint="eastAsia"/>
          <w:b/>
          <w:sz w:val="32"/>
          <w:szCs w:val="32"/>
        </w:rPr>
        <w:t>2.大力发展中医特色服务</w:t>
      </w:r>
    </w:p>
    <w:p w14:paraId="7A4ECB26">
      <w:pPr>
        <w:spacing w:before="0" w:beforeLines="0" w:after="0" w:afterLines="0" w:line="550" w:lineRule="exact"/>
        <w:ind w:firstLine="640" w:firstLineChars="200"/>
        <w:rPr>
          <w:sz w:val="32"/>
          <w:szCs w:val="32"/>
        </w:rPr>
      </w:pPr>
      <w:r>
        <w:rPr>
          <w:rFonts w:hint="eastAsia"/>
          <w:sz w:val="32"/>
          <w:szCs w:val="32"/>
        </w:rPr>
        <w:t>开展中医养生保健服务。建立中医健康状态评估方法，丰富中医健康体检服务。推广太极拳、健身气功、导引等中医传统运动，开展药膳食疗。为居民提供融中医健康监测、咨询评估、养生调理、跟踪管理于一体，高水平、个性化、便捷化的中医养生保健服务。</w:t>
      </w:r>
    </w:p>
    <w:p w14:paraId="32E14D0E">
      <w:pPr>
        <w:spacing w:before="0" w:beforeLines="0" w:after="0" w:afterLines="0" w:line="550" w:lineRule="exact"/>
        <w:ind w:firstLine="640" w:firstLineChars="200"/>
        <w:rPr>
          <w:sz w:val="32"/>
          <w:szCs w:val="32"/>
        </w:rPr>
      </w:pPr>
      <w:r>
        <w:rPr>
          <w:rFonts w:hint="eastAsia"/>
          <w:sz w:val="32"/>
          <w:szCs w:val="32"/>
        </w:rPr>
        <w:t>开展中医特色健康管理。将中医药优势与健康管理结合，以慢性病管理为重点，以治未病理念为核心，探索融健康文化、健康管理、健康保险为一体的中医健康保障模式。加强中医养生保健宣传引导，积极利用新媒体传播中医药养生保健知识，引导人民群众更全面地认识健康，自觉培养健康生活习惯和精神追求。</w:t>
      </w:r>
    </w:p>
    <w:p w14:paraId="486DDB1B">
      <w:pPr>
        <w:spacing w:before="0" w:beforeLines="0" w:after="0" w:afterLines="0" w:line="550" w:lineRule="exact"/>
        <w:ind w:firstLine="640" w:firstLineChars="200"/>
        <w:rPr>
          <w:sz w:val="32"/>
          <w:szCs w:val="32"/>
        </w:rPr>
      </w:pPr>
      <w:r>
        <w:rPr>
          <w:rFonts w:hint="eastAsia"/>
          <w:sz w:val="32"/>
          <w:szCs w:val="32"/>
        </w:rPr>
        <w:t>开展中医特色康复服务。加强中医医院康复科建设，拓展中医特色康复服务能力，推动各级各类医疗机构开展中医特色康复医疗、训练指导、知识普及、康复护理、辅具服务。在社康中心推广适宜中医康复技术，提升社区康复服务能力和水平，让群众就近享有规范、便捷、有效的中医特色康复服务。</w:t>
      </w:r>
    </w:p>
    <w:p w14:paraId="51F9392F">
      <w:pPr>
        <w:spacing w:before="0" w:beforeLines="0" w:after="0" w:afterLines="0" w:line="550" w:lineRule="exact"/>
        <w:ind w:firstLine="640" w:firstLineChars="200"/>
        <w:rPr>
          <w:sz w:val="32"/>
          <w:szCs w:val="32"/>
        </w:rPr>
      </w:pPr>
      <w:r>
        <w:rPr>
          <w:rFonts w:hint="eastAsia"/>
          <w:sz w:val="32"/>
          <w:szCs w:val="32"/>
        </w:rPr>
        <w:t>开展中医健康养老服务。推动中医医院与老年护理院、康复疗养机构等开展合作。促进中医与养老服务结合，开展老年病、慢性病防治和康复护理，为老年人就医提供优先优惠服务。支持养老机构开展融合中医特色健康管理的老年人养生保健、医疗、康复、护理服务。试点开展社区和居家中医药健康养老服务，为老年人建立健康档案，建立医疗契约服务关系，开展上门诊视、健康查体、保健咨询等服务。</w:t>
      </w:r>
    </w:p>
    <w:p w14:paraId="20A10E83">
      <w:pPr>
        <w:spacing w:before="0" w:beforeLines="0" w:after="0" w:afterLines="0" w:line="550" w:lineRule="exact"/>
        <w:ind w:firstLine="640"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（四）改善医疗服务构建和谐医患关系</w:t>
      </w:r>
    </w:p>
    <w:p w14:paraId="1E337B11">
      <w:pPr>
        <w:spacing w:before="0" w:beforeLines="0" w:after="0" w:afterLines="0" w:line="550" w:lineRule="exact"/>
        <w:ind w:firstLine="640" w:firstLineChars="200"/>
        <w:rPr>
          <w:sz w:val="32"/>
          <w:szCs w:val="32"/>
        </w:rPr>
      </w:pPr>
      <w:r>
        <w:rPr>
          <w:rFonts w:hint="eastAsia"/>
          <w:sz w:val="32"/>
          <w:szCs w:val="32"/>
        </w:rPr>
        <w:t>深入开展改善医疗服务行动。优化诊区设施布局，保持环境整洁，设置醒目标识，提供便民设施和服务，营造温馨就诊环境。推进预约诊疗服务，有效分流就诊患者。合理调配资源，加强急诊力量，畅通急诊绿色通道。发挥信息技术优势，改善患者就医体验。完善入、出、转院服务流程，改善住院条件，实现住院全程服务。持续改进护理服务，落实患者安全措施，加强合理用药，检查结果互认，诚信诊疗收费，规范诊疗行为，保障医疗安全。体现良好风貌，注重心理疏导，保护患者隐私，促进社工志愿服务。</w:t>
      </w:r>
    </w:p>
    <w:p w14:paraId="303A1529">
      <w:pPr>
        <w:spacing w:before="0" w:beforeLines="0" w:after="0" w:afterLines="0" w:line="550" w:lineRule="exact"/>
        <w:ind w:firstLine="640" w:firstLineChars="200"/>
        <w:rPr>
          <w:sz w:val="32"/>
          <w:szCs w:val="32"/>
        </w:rPr>
      </w:pPr>
      <w:r>
        <w:rPr>
          <w:rFonts w:hint="eastAsia"/>
          <w:sz w:val="32"/>
          <w:szCs w:val="32"/>
        </w:rPr>
        <w:t>构建和谐医患关系。深入开展改善医疗服务行动，健全医疗质量控制和持续改进机制，加强医疗质量安全管理。完善医疗纠纷调解机制，建立医疗纠纷多元化解告知制度，推进医疗责任险工作，妥善化解医疗纠纷。加强医疗机构安全防范系统建设，全面提升医疗机构防范能力，健全警医联动机制，维护医疗机构良好秩序。</w:t>
      </w:r>
    </w:p>
    <w:p w14:paraId="0921F96C">
      <w:pPr>
        <w:spacing w:before="0" w:beforeLines="0" w:after="0" w:afterLines="0" w:line="550" w:lineRule="exact"/>
        <w:ind w:firstLine="640" w:firstLineChars="200"/>
        <w:rPr>
          <w:rFonts w:ascii="黑体" w:hAnsi="黑体" w:eastAsia="黑体"/>
          <w:b/>
          <w:bCs/>
          <w:sz w:val="32"/>
          <w:szCs w:val="32"/>
        </w:rPr>
      </w:pPr>
      <w:r>
        <w:rPr>
          <w:rFonts w:hint="eastAsia" w:ascii="黑体" w:hAnsi="黑体" w:eastAsia="黑体"/>
          <w:sz w:val="32"/>
          <w:szCs w:val="32"/>
        </w:rPr>
        <w:t>三、深化医药卫生体制改革</w:t>
      </w:r>
    </w:p>
    <w:p w14:paraId="0D0F7CE6">
      <w:pPr>
        <w:spacing w:before="0" w:beforeLines="0" w:after="0" w:afterLines="0" w:line="550" w:lineRule="exact"/>
        <w:ind w:firstLine="640" w:firstLineChars="200"/>
        <w:rPr>
          <w:rFonts w:ascii="楷体_GB2312" w:eastAsia="楷体_GB2312"/>
          <w:b/>
          <w:sz w:val="32"/>
          <w:szCs w:val="32"/>
        </w:rPr>
      </w:pPr>
      <w:r>
        <w:rPr>
          <w:rFonts w:hint="eastAsia" w:ascii="楷体_GB2312" w:hAnsi="楷体_GB2312" w:eastAsia="楷体_GB2312" w:cs="楷体_GB2312"/>
          <w:b/>
          <w:sz w:val="32"/>
          <w:szCs w:val="32"/>
        </w:rPr>
        <w:t>（一）分级诊疗制度建设</w:t>
      </w:r>
    </w:p>
    <w:p w14:paraId="1443F206">
      <w:pPr>
        <w:spacing w:before="0" w:beforeLines="0" w:after="0" w:afterLines="0" w:line="550" w:lineRule="exact"/>
        <w:ind w:firstLine="640" w:firstLineChars="200"/>
        <w:rPr>
          <w:b/>
          <w:sz w:val="32"/>
          <w:szCs w:val="32"/>
        </w:rPr>
      </w:pPr>
      <w:r>
        <w:rPr>
          <w:rFonts w:hint="eastAsia"/>
          <w:b/>
          <w:sz w:val="32"/>
          <w:szCs w:val="32"/>
        </w:rPr>
        <w:t>1.优化资源配置，明确功能定位</w:t>
      </w:r>
    </w:p>
    <w:p w14:paraId="11439A84">
      <w:pPr>
        <w:spacing w:before="0" w:beforeLines="0" w:after="0" w:afterLines="0" w:line="550" w:lineRule="exact"/>
        <w:ind w:firstLine="640" w:firstLineChars="200"/>
        <w:rPr>
          <w:sz w:val="32"/>
          <w:szCs w:val="32"/>
        </w:rPr>
      </w:pPr>
      <w:r>
        <w:rPr>
          <w:rFonts w:hint="eastAsia"/>
          <w:sz w:val="32"/>
          <w:szCs w:val="32"/>
        </w:rPr>
        <w:t>优化医疗服务体系布局。以区人民医院、区中医院三级医院为区域医疗中心，以区妇幼保健院、区慢性病防治院</w:t>
      </w:r>
      <w:r>
        <w:rPr>
          <w:rFonts w:hint="eastAsia" w:ascii="仿宋" w:hAnsi="仿宋" w:eastAsia="仿宋"/>
          <w:sz w:val="32"/>
          <w:szCs w:val="32"/>
        </w:rPr>
        <w:t>、</w:t>
      </w:r>
      <w:r>
        <w:rPr>
          <w:rFonts w:hint="eastAsia"/>
          <w:sz w:val="32"/>
          <w:szCs w:val="32"/>
        </w:rPr>
        <w:t>区第二人民医院、区老人康复护理院、社康中心、门诊部、诊所、医务室为基层医疗服务网络，以区妇儿医院、区肛肠医院、区</w:t>
      </w:r>
      <w:r>
        <w:rPr>
          <w:rFonts w:hint="eastAsia"/>
          <w:color w:val="000000"/>
          <w:sz w:val="32"/>
          <w:szCs w:val="32"/>
        </w:rPr>
        <w:t>风湿病医院</w:t>
      </w:r>
      <w:r>
        <w:rPr>
          <w:rFonts w:hint="eastAsia"/>
          <w:sz w:val="32"/>
          <w:szCs w:val="32"/>
        </w:rPr>
        <w:t>为专科补充，建立布局合理、规模适当、层级优化、职责明晰、功能完善、富有效率的医疗服务体系。明确区域医疗中心、基层医疗服务网络和专科医院在床位、医护人员配置等方面的比例，优化结构和布局，强化基层医疗服务网络卫生资源配置。</w:t>
      </w:r>
    </w:p>
    <w:p w14:paraId="5C490EA2">
      <w:pPr>
        <w:spacing w:before="0" w:beforeLines="0" w:after="0" w:afterLines="0" w:line="550" w:lineRule="exact"/>
        <w:ind w:firstLine="640" w:firstLineChars="200"/>
        <w:rPr>
          <w:sz w:val="32"/>
          <w:szCs w:val="32"/>
        </w:rPr>
      </w:pPr>
      <w:r>
        <w:rPr>
          <w:rFonts w:hint="eastAsia"/>
          <w:sz w:val="32"/>
          <w:szCs w:val="32"/>
        </w:rPr>
        <w:t>明确医疗机构功能定位。区域医疗中心主要承担危急重症和疑难病症诊疗、医学教育科研、医务人员培养等任务，逐步减少常见病、多发病复诊和诊断明确病情稳定的慢性病等普通门诊，分流慢性病患者，缩短平均住院日。基层医疗服务网络主要承担常见病、多发病一般诊疗，高血压、糖尿病等诊断明确的慢性病治疗、康复、护理、复查、随访，传染病发现及转诊等服务。专科医院主要承担专科疾病的诊疗、医学教育科研。</w:t>
      </w:r>
    </w:p>
    <w:p w14:paraId="5E08EEF5">
      <w:pPr>
        <w:spacing w:before="0" w:beforeLines="0" w:after="0" w:afterLines="0" w:line="550" w:lineRule="exact"/>
        <w:ind w:firstLine="640" w:firstLineChars="200"/>
        <w:rPr>
          <w:sz w:val="32"/>
          <w:szCs w:val="32"/>
        </w:rPr>
      </w:pPr>
      <w:r>
        <w:rPr>
          <w:rFonts w:hint="eastAsia"/>
          <w:sz w:val="32"/>
          <w:szCs w:val="32"/>
        </w:rPr>
        <w:t>推动康复、慢病、养老等服务体系发展。大力推进区慢性病防治院</w:t>
      </w:r>
      <w:r>
        <w:rPr>
          <w:rFonts w:hint="eastAsia" w:ascii="仿宋" w:hAnsi="仿宋" w:eastAsia="仿宋"/>
          <w:sz w:val="32"/>
          <w:szCs w:val="32"/>
        </w:rPr>
        <w:t>慢病康复、</w:t>
      </w:r>
      <w:r>
        <w:rPr>
          <w:rFonts w:hint="eastAsia"/>
          <w:sz w:val="32"/>
          <w:szCs w:val="32"/>
        </w:rPr>
        <w:t>区第二人民医院老年病、区老人康复护理院老人护理的发展。推动“医养融合”，鼓励基层医疗卫生机构与日间照料中心、养老院等机构合作，为慢性病、老年病等患者提供老年护理、家庭护理、社区护理、家庭病床等服务。</w:t>
      </w:r>
    </w:p>
    <w:p w14:paraId="4321D8AA">
      <w:pPr>
        <w:spacing w:before="0" w:beforeLines="0" w:after="0" w:afterLines="0" w:line="550" w:lineRule="exact"/>
        <w:ind w:firstLine="640" w:firstLineChars="200"/>
        <w:rPr>
          <w:b/>
          <w:sz w:val="32"/>
          <w:szCs w:val="32"/>
        </w:rPr>
      </w:pPr>
      <w:r>
        <w:rPr>
          <w:rFonts w:hint="eastAsia"/>
          <w:b/>
          <w:sz w:val="32"/>
          <w:szCs w:val="32"/>
        </w:rPr>
        <w:t>2.加强基层服务能力建设，健全基层服务网络</w:t>
      </w:r>
    </w:p>
    <w:p w14:paraId="491F846F">
      <w:pPr>
        <w:spacing w:before="0" w:beforeLines="0" w:after="0" w:afterLines="0" w:line="550" w:lineRule="exact"/>
        <w:ind w:firstLine="640" w:firstLineChars="200"/>
        <w:rPr>
          <w:sz w:val="32"/>
          <w:szCs w:val="32"/>
        </w:rPr>
      </w:pPr>
      <w:r>
        <w:rPr>
          <w:rFonts w:hint="eastAsia"/>
          <w:sz w:val="32"/>
          <w:szCs w:val="32"/>
        </w:rPr>
        <w:t>提升基层机构服务能力。进一步推进区域性社康中心建设，做大做强本体，探索建立“1+N”区域管理机制。实现社康中心基本设备标准化配置。推动实施医院与社康中心之间的远程医学服务系统建设，实现心电图等检查项目“社康检查、医院诊断”。持续优化落实三级公立医院专家下社康诊疗服务和业务指导。</w:t>
      </w:r>
    </w:p>
    <w:p w14:paraId="2ABABB09">
      <w:pPr>
        <w:spacing w:before="0" w:beforeLines="0" w:after="0" w:afterLines="0" w:line="550" w:lineRule="exact"/>
        <w:ind w:firstLine="640" w:firstLineChars="200"/>
        <w:rPr>
          <w:sz w:val="32"/>
          <w:szCs w:val="32"/>
        </w:rPr>
      </w:pPr>
      <w:r>
        <w:rPr>
          <w:rFonts w:hint="eastAsia"/>
          <w:sz w:val="32"/>
          <w:szCs w:val="32"/>
        </w:rPr>
        <w:t>发展完善全科医学服务体系，深入推进家庭医生签约式服务。鼓励社会办医疗机构、个体执业的全科医生等开办全科医学诊所，推动家庭医生责任制，逐步实现签约服务。支持全科医生承接慢性病和康复期患者的管理和指导服务，为市民提供健康咨询与管理、疾病初级诊疗、转诊转介服务。争取到2020年底，每万常住人口全科医生数达到3.24人，老年人等重点人群的家庭医生服务签约率达到80%以上。</w:t>
      </w:r>
    </w:p>
    <w:p w14:paraId="41D64994">
      <w:pPr>
        <w:spacing w:before="0" w:beforeLines="0" w:after="0" w:afterLines="0" w:line="550" w:lineRule="exact"/>
        <w:ind w:firstLine="640" w:firstLineChars="200"/>
        <w:rPr>
          <w:b/>
          <w:sz w:val="32"/>
          <w:szCs w:val="32"/>
        </w:rPr>
      </w:pPr>
      <w:r>
        <w:rPr>
          <w:rFonts w:hint="eastAsia"/>
          <w:b/>
          <w:sz w:val="32"/>
          <w:szCs w:val="32"/>
        </w:rPr>
        <w:t>3.促进机构间分工协作</w:t>
      </w:r>
    </w:p>
    <w:p w14:paraId="7589821C">
      <w:pPr>
        <w:spacing w:before="0" w:beforeLines="0" w:after="0" w:afterLines="0" w:line="550" w:lineRule="exact"/>
        <w:ind w:firstLine="640" w:firstLineChars="200"/>
        <w:rPr>
          <w:sz w:val="32"/>
          <w:szCs w:val="32"/>
        </w:rPr>
      </w:pPr>
      <w:r>
        <w:rPr>
          <w:rFonts w:hint="eastAsia"/>
          <w:sz w:val="32"/>
          <w:szCs w:val="32"/>
        </w:rPr>
        <w:t>推进医疗机构联网组团运营。力争把市属医院和更多的社会医疗机构纳进医疗联合体，扩充医疗联合体的医疗机构数量，促进医疗机构之间大型医用设备共享使用，实现医疗联合体内同级医疗机构医学检查检查结果互认。依托医疗联合体，构建基层首诊、双向转诊、急慢分治、上下联动的分级诊疗模式。</w:t>
      </w:r>
    </w:p>
    <w:p w14:paraId="7C49C9ED">
      <w:pPr>
        <w:spacing w:before="0" w:beforeLines="0" w:after="0" w:afterLines="0" w:line="550" w:lineRule="exact"/>
        <w:ind w:firstLine="640" w:firstLineChars="200"/>
        <w:rPr>
          <w:sz w:val="32"/>
          <w:szCs w:val="32"/>
        </w:rPr>
      </w:pPr>
      <w:r>
        <w:rPr>
          <w:rFonts w:hint="eastAsia"/>
          <w:sz w:val="32"/>
          <w:szCs w:val="32"/>
        </w:rPr>
        <w:t xml:space="preserve">完善医疗机构转诊制度。建立健全分级诊疗服务信息管理平台。区域医疗中心为基层医疗服务网络上转病人预留号源，对在基层医疗服务网络首诊的患者实行优先接诊、优先检查、优先住院，满足市民接续性医疗服务需求。探索上级医院出具治疗方案，在下级医院或基层医疗卫生机构实施治疗的新模式。推动区域医疗中心与基层医疗服务网络、康复医疗机构、慢性病医疗机构建立双向转诊制度，探索由三级医院专科医生、基层全科医生、公共卫生医生、护理人员组成团队，对下转慢性病和康复等患者进行管理和指导的新模式。    </w:t>
      </w:r>
    </w:p>
    <w:p w14:paraId="61AE1AE4">
      <w:pPr>
        <w:spacing w:before="0" w:beforeLines="0" w:after="0" w:afterLines="0" w:line="55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sz w:val="32"/>
          <w:szCs w:val="32"/>
        </w:rPr>
        <w:t>（二）扶持社会力量办医</w:t>
      </w:r>
    </w:p>
    <w:p w14:paraId="4B0CD63F">
      <w:pPr>
        <w:spacing w:before="0" w:beforeLines="0" w:after="0" w:afterLines="0" w:line="550" w:lineRule="exact"/>
        <w:ind w:firstLine="640" w:firstLineChars="200"/>
        <w:rPr>
          <w:b/>
          <w:bCs/>
          <w:sz w:val="32"/>
          <w:szCs w:val="32"/>
        </w:rPr>
      </w:pPr>
      <w:r>
        <w:rPr>
          <w:rFonts w:hint="eastAsia"/>
          <w:b/>
          <w:sz w:val="32"/>
          <w:szCs w:val="32"/>
        </w:rPr>
        <w:t>1.发展协会引导行业自律</w:t>
      </w:r>
    </w:p>
    <w:p w14:paraId="05D86395">
      <w:pPr>
        <w:spacing w:before="0" w:beforeLines="0" w:after="0" w:afterLines="0" w:line="550" w:lineRule="exact"/>
        <w:ind w:firstLine="640" w:firstLineChars="200"/>
        <w:rPr>
          <w:sz w:val="32"/>
          <w:szCs w:val="32"/>
        </w:rPr>
      </w:pPr>
      <w:r>
        <w:rPr>
          <w:rFonts w:hint="eastAsia"/>
          <w:sz w:val="32"/>
          <w:szCs w:val="32"/>
        </w:rPr>
        <w:t>支持区社会医疗机构行业协会发展，</w:t>
      </w:r>
      <w:r>
        <w:rPr>
          <w:rFonts w:hint="eastAsia"/>
          <w:kern w:val="0"/>
          <w:sz w:val="32"/>
          <w:szCs w:val="32"/>
        </w:rPr>
        <w:t>促进行业协会加强自身建设，为社会医疗机构提供高效、全面的服务，扩大影响力，吸引更多医疗机构入会。</w:t>
      </w:r>
      <w:r>
        <w:rPr>
          <w:rFonts w:hint="eastAsia"/>
          <w:sz w:val="32"/>
          <w:szCs w:val="32"/>
        </w:rPr>
        <w:t>整合辖区专业资源，组建分会，发挥分会专业技术支持和指导作用。</w:t>
      </w:r>
    </w:p>
    <w:p w14:paraId="2E1BA47D">
      <w:pPr>
        <w:spacing w:before="0" w:beforeLines="0" w:after="0" w:afterLines="0" w:line="550" w:lineRule="exact"/>
        <w:ind w:firstLine="640" w:firstLineChars="200"/>
        <w:rPr>
          <w:kern w:val="0"/>
          <w:sz w:val="32"/>
          <w:szCs w:val="32"/>
        </w:rPr>
      </w:pPr>
      <w:r>
        <w:rPr>
          <w:rFonts w:hint="eastAsia"/>
          <w:kern w:val="0"/>
          <w:sz w:val="32"/>
          <w:szCs w:val="32"/>
        </w:rPr>
        <w:t>支持行业协会通过购买服务形式承接政府职能转移项目。开展医疗质量评估和诚信单位评估，评选示范单位和诚信单位，发挥示范、诚信医疗机构行业引领作用，引导行业自律，探索把医疗质量评估结果运用到医疗机构年度校验中。根据行业特点和需求，组织各类培训，提高辖区社会医疗机构从业人员医疗技能和素质。做好社会医疗机构各类报表的报送工作。参与医疗机构设置的公示环节和执业登记注册的验收环节，探索参与医疗机构行政许可新模式。探索承接区卫生计生系统年终检查、医师不良执业行为记分工作。不断拓展行业协会承接政府职能工作。</w:t>
      </w:r>
    </w:p>
    <w:p w14:paraId="654720CC">
      <w:pPr>
        <w:spacing w:before="0" w:beforeLines="0" w:after="0" w:afterLines="0" w:line="550" w:lineRule="exact"/>
        <w:ind w:firstLine="640" w:firstLineChars="200"/>
        <w:rPr>
          <w:kern w:val="0"/>
          <w:sz w:val="32"/>
          <w:szCs w:val="32"/>
        </w:rPr>
      </w:pPr>
      <w:r>
        <w:rPr>
          <w:rFonts w:hint="eastAsia"/>
          <w:kern w:val="0"/>
          <w:sz w:val="32"/>
          <w:szCs w:val="32"/>
        </w:rPr>
        <w:t>推动行业协会创新发展。探索医疗文书、药品器械集中采购和医疗废物统一委托模式，降低社会医疗机构运营成本。积极理顺社会医疗机构职称晋升、继续教育工作。</w:t>
      </w:r>
    </w:p>
    <w:p w14:paraId="2F653329">
      <w:pPr>
        <w:spacing w:before="0" w:beforeLines="0" w:after="0" w:afterLines="0" w:line="550" w:lineRule="exact"/>
        <w:ind w:firstLine="640" w:firstLineChars="200"/>
        <w:rPr>
          <w:b/>
          <w:sz w:val="32"/>
          <w:szCs w:val="32"/>
        </w:rPr>
      </w:pPr>
      <w:r>
        <w:rPr>
          <w:rFonts w:hint="eastAsia"/>
          <w:b/>
          <w:sz w:val="32"/>
          <w:szCs w:val="32"/>
        </w:rPr>
        <w:t>2.加大社会办医支持力度</w:t>
      </w:r>
    </w:p>
    <w:p w14:paraId="558BFB69">
      <w:pPr>
        <w:spacing w:before="0" w:beforeLines="0" w:after="0" w:afterLines="0" w:line="550" w:lineRule="exact"/>
        <w:ind w:firstLine="640" w:firstLineChars="200"/>
        <w:rPr>
          <w:sz w:val="32"/>
          <w:szCs w:val="32"/>
        </w:rPr>
      </w:pPr>
      <w:r>
        <w:rPr>
          <w:rFonts w:hint="eastAsia"/>
          <w:sz w:val="32"/>
          <w:szCs w:val="32"/>
        </w:rPr>
        <w:t>建立公开、透明、平等、规范的社会办医准入制度。鼓励社会资力量参与资源稀缺及满足多元需求服务领域。鼓励社会力量举办高水平、规模化的大型医疗机构或向医疗集团化发展。积极发展中医类别医疗机构，鼓励社会资本举办中医专科医疗机构，鼓励有资质的中医专业技术人员特别是名老中医开办中医医疗机构。</w:t>
      </w:r>
    </w:p>
    <w:p w14:paraId="10E2DBA7">
      <w:pPr>
        <w:spacing w:before="0" w:beforeLines="0" w:after="0" w:afterLines="0" w:line="550" w:lineRule="exact"/>
        <w:ind w:firstLine="640" w:firstLineChars="200"/>
        <w:rPr>
          <w:sz w:val="32"/>
          <w:szCs w:val="32"/>
        </w:rPr>
      </w:pPr>
      <w:r>
        <w:rPr>
          <w:rFonts w:hint="eastAsia"/>
          <w:sz w:val="32"/>
          <w:szCs w:val="32"/>
        </w:rPr>
        <w:t>鼓励社会力量参与发展全科医学服务体系。鼓励社会办医疗机构、个体执业的全科医师或其他社会力量举办全科医学诊所，承接全科医生服务，为居民及其家庭提供健康咨询与管理、疾病初级诊疗、转诊转介和基本公共卫生服务。探索社会力量参与家庭医生服务新模式，为居民提供家庭护理、家庭康复、家庭病床等服务。</w:t>
      </w:r>
    </w:p>
    <w:p w14:paraId="02E67B26">
      <w:pPr>
        <w:spacing w:before="0" w:beforeLines="0" w:after="0" w:afterLines="0" w:line="550" w:lineRule="exact"/>
        <w:ind w:firstLine="640" w:firstLineChars="200"/>
        <w:rPr>
          <w:sz w:val="32"/>
          <w:szCs w:val="32"/>
        </w:rPr>
      </w:pPr>
      <w:r>
        <w:rPr>
          <w:rFonts w:hint="eastAsia"/>
          <w:sz w:val="32"/>
          <w:szCs w:val="32"/>
        </w:rPr>
        <w:t>加快推进“名医诊疗中心”和“名中医诊疗中心”建设工作。建立政府扶持与市场运作相结合、专家诊疗与医技服务相结合、独立运营与统一配套相结合的新型医疗服务模式。</w:t>
      </w:r>
      <w:r>
        <w:rPr>
          <w:rFonts w:hint="eastAsia"/>
          <w:bCs/>
          <w:sz w:val="32"/>
          <w:szCs w:val="32"/>
        </w:rPr>
        <w:t>鼓励企业集团、商业保险机构联合国内外高水平医学机构到福田区延展健康产业链，探索推进居家护理康复服务，推动健康服务业发展。</w:t>
      </w:r>
    </w:p>
    <w:p w14:paraId="2ADEDF17">
      <w:pPr>
        <w:spacing w:before="0" w:beforeLines="0" w:after="0" w:afterLines="0" w:line="550" w:lineRule="exact"/>
        <w:ind w:firstLine="640" w:firstLineChars="200"/>
        <w:rPr>
          <w:b/>
          <w:bCs/>
          <w:sz w:val="32"/>
          <w:szCs w:val="32"/>
        </w:rPr>
      </w:pPr>
      <w:r>
        <w:rPr>
          <w:rFonts w:hint="eastAsia"/>
          <w:b/>
          <w:bCs/>
          <w:sz w:val="32"/>
          <w:szCs w:val="32"/>
        </w:rPr>
        <w:t>3.大力支持服务能力提升</w:t>
      </w:r>
    </w:p>
    <w:p w14:paraId="4A007D23">
      <w:pPr>
        <w:spacing w:before="0" w:beforeLines="0" w:after="0" w:afterLines="0" w:line="550" w:lineRule="exact"/>
        <w:ind w:firstLine="640" w:firstLineChars="200"/>
        <w:rPr>
          <w:kern w:val="0"/>
          <w:sz w:val="32"/>
          <w:szCs w:val="32"/>
        </w:rPr>
      </w:pPr>
      <w:r>
        <w:rPr>
          <w:rFonts w:hint="eastAsia"/>
          <w:sz w:val="32"/>
          <w:szCs w:val="32"/>
        </w:rPr>
        <w:t>支持社会医疗机构开展重点专科、专病建设，加强对社会医疗机构临床专科能力建设的指导，将其统一纳入全区临床重点专科建设规划。进一步保障社会医疗机构在行业协会、学会中享有承担与其学术水平和专业能力相适应的职务的机会。支持开展信息化建设，支持社会医疗机构加快实现与医疗保障、公立医疗机构等信息系统的互联互通。保障社会医疗机构和公立医疗机构在政策知情和信息占用等公共资源共享方面享有平等权益。</w:t>
      </w:r>
      <w:r>
        <w:rPr>
          <w:rFonts w:hint="eastAsia"/>
          <w:kern w:val="0"/>
          <w:sz w:val="32"/>
          <w:szCs w:val="32"/>
        </w:rPr>
        <w:t>组建专家团队，建立帮扶机制，积极帮扶发展遇到困难的社会医疗机构，提高社会医疗机构整体医疗水平。</w:t>
      </w:r>
    </w:p>
    <w:p w14:paraId="7A1A34BF">
      <w:pPr>
        <w:spacing w:before="0" w:beforeLines="0" w:after="0" w:afterLines="0" w:line="550" w:lineRule="exact"/>
        <w:ind w:firstLine="640"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（三）加强人才队伍建设</w:t>
      </w:r>
    </w:p>
    <w:p w14:paraId="6F0FF012">
      <w:pPr>
        <w:spacing w:before="0" w:beforeLines="0" w:after="0" w:afterLines="0" w:line="550" w:lineRule="exact"/>
        <w:ind w:firstLine="640" w:firstLineChars="200"/>
        <w:rPr>
          <w:b/>
          <w:sz w:val="32"/>
          <w:szCs w:val="32"/>
        </w:rPr>
      </w:pPr>
      <w:r>
        <w:rPr>
          <w:b/>
          <w:sz w:val="32"/>
          <w:szCs w:val="32"/>
        </w:rPr>
        <w:t>1.</w:t>
      </w:r>
      <w:r>
        <w:rPr>
          <w:rFonts w:hint="eastAsia"/>
          <w:b/>
          <w:sz w:val="32"/>
          <w:szCs w:val="32"/>
        </w:rPr>
        <w:t xml:space="preserve"> 提升人才总量，优化人才结构</w:t>
      </w:r>
    </w:p>
    <w:p w14:paraId="1653579F">
      <w:pPr>
        <w:spacing w:before="0" w:beforeLines="0" w:after="0" w:afterLines="0" w:line="550" w:lineRule="exact"/>
        <w:ind w:firstLine="640" w:firstLineChars="200"/>
        <w:rPr>
          <w:sz w:val="32"/>
          <w:szCs w:val="32"/>
        </w:rPr>
      </w:pPr>
      <w:r>
        <w:rPr>
          <w:rFonts w:hint="eastAsia"/>
          <w:sz w:val="32"/>
          <w:szCs w:val="32"/>
        </w:rPr>
        <w:t>按照梯次配备、结构合理的原则，以学科带头人为核心，以骨干型人才和实用紧缺型人才为重点，提高高端卫生人才所占比重，发挥其引领作用，着力推进临床卫生、社区卫生（全科医生、康复医生）、中医药、公共卫生、临床护理等五大人才队伍建设；继续拓展以高端卫生人才为主、以“植入式”合作办医、“国际雇员”等为主要形式的“柔性引才”，引入行业顶尖人才为我所用。继续通过医疗卫生“三名工程”引入高层次医疗卫生人才及团队，全面提升区属医疗机构临床、科研、教学水平。通过公开选聘、定点招考等方式，引入实用型人才与成长型人才，不断扩充队伍规模，提升整体实力。</w:t>
      </w:r>
    </w:p>
    <w:p w14:paraId="2148BE77">
      <w:pPr>
        <w:spacing w:before="0" w:beforeLines="0" w:after="0" w:afterLines="0" w:line="550" w:lineRule="exact"/>
        <w:ind w:firstLine="640" w:firstLineChars="200"/>
        <w:rPr>
          <w:b/>
          <w:sz w:val="32"/>
          <w:szCs w:val="32"/>
        </w:rPr>
      </w:pPr>
      <w:r>
        <w:rPr>
          <w:rFonts w:hint="eastAsia"/>
          <w:b/>
          <w:sz w:val="32"/>
          <w:szCs w:val="32"/>
        </w:rPr>
        <w:t>2.加强人才培养，提升队伍素质</w:t>
      </w:r>
    </w:p>
    <w:p w14:paraId="2B2E2AE2">
      <w:pPr>
        <w:spacing w:before="0" w:beforeLines="0" w:after="0" w:afterLines="0" w:line="550" w:lineRule="exact"/>
        <w:ind w:firstLine="640" w:firstLineChars="200"/>
        <w:rPr>
          <w:sz w:val="32"/>
          <w:szCs w:val="32"/>
        </w:rPr>
      </w:pPr>
      <w:r>
        <w:rPr>
          <w:rFonts w:hint="eastAsia"/>
          <w:sz w:val="32"/>
          <w:szCs w:val="32"/>
        </w:rPr>
        <w:t>以“强存量”为核心，完善住院医师规范化培训、社康全科医师规范化培训、专科医师定向培训和外派进修培训等分类培养方式，提升医务人员整体素质。完善专业技术职务聘任动态管理，实行3年一个周期全员专业技术职务竞聘上岗，以“服务好、质量好、医德好、群众满意”为考核目标，建立能上能下、能进能出的用人机制。建立“政府引导、医院主导、个体主动”的专业技术人才全周期培养工作机制，完善医院主体培养、科室主体落实、个人主动作为的全周期培养责任体制，立足岗位成才，推动“幸福健康、尊严乐业”核心价值理念的树立。</w:t>
      </w:r>
    </w:p>
    <w:p w14:paraId="3BB9C361">
      <w:pPr>
        <w:spacing w:before="0" w:beforeLines="0" w:after="0" w:afterLines="0" w:line="550" w:lineRule="exact"/>
        <w:ind w:firstLine="640" w:firstLineChars="200"/>
        <w:rPr>
          <w:b/>
          <w:sz w:val="32"/>
          <w:szCs w:val="32"/>
        </w:rPr>
      </w:pPr>
      <w:r>
        <w:rPr>
          <w:rFonts w:hint="eastAsia"/>
          <w:b/>
          <w:sz w:val="32"/>
          <w:szCs w:val="32"/>
        </w:rPr>
        <w:t>3.健全配套政策，发挥人才效能</w:t>
      </w:r>
    </w:p>
    <w:p w14:paraId="192980C7">
      <w:pPr>
        <w:spacing w:before="0" w:beforeLines="0" w:after="0" w:afterLines="0" w:line="550" w:lineRule="exact"/>
        <w:ind w:firstLine="640" w:firstLineChars="200"/>
        <w:rPr>
          <w:rFonts w:ascii="黑体" w:hAnsi="黑体"/>
          <w:b/>
          <w:bCs/>
          <w:sz w:val="32"/>
          <w:szCs w:val="32"/>
        </w:rPr>
      </w:pPr>
      <w:r>
        <w:rPr>
          <w:rFonts w:hint="eastAsia"/>
          <w:sz w:val="32"/>
          <w:szCs w:val="32"/>
        </w:rPr>
        <w:t>实施多层次人才激励办法。配合区相关人才管理部门，针对高端医疗卫生专业技术人才，探索建立以人才奖励补贴、住房安居保障、配偶就业安置与协助子女入学等为主要内容的综合配套保障机制。对于实用骨干型卫生专业技术人才，提供人才住房租赁等住房保障办法。探索建立学术创新专项资金，搭建科研平台，奖励学术成果。每年以绩效工资总量的5%-10%的经费，专门用以高层次人才的培养、奖励和引进。</w:t>
      </w:r>
    </w:p>
    <w:p w14:paraId="380B9F2E">
      <w:pPr>
        <w:spacing w:before="0" w:beforeLines="0" w:after="0" w:afterLines="0" w:line="550" w:lineRule="exact"/>
        <w:ind w:firstLine="640"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（四）医疗卫生信息化建设</w:t>
      </w:r>
    </w:p>
    <w:p w14:paraId="3DA54E1E">
      <w:pPr>
        <w:spacing w:before="0" w:beforeLines="0" w:after="0" w:afterLines="0" w:line="550" w:lineRule="exact"/>
        <w:ind w:firstLine="640" w:firstLineChars="200"/>
        <w:rPr>
          <w:b/>
          <w:bCs/>
          <w:sz w:val="32"/>
          <w:szCs w:val="32"/>
        </w:rPr>
      </w:pPr>
      <w:r>
        <w:rPr>
          <w:rFonts w:hint="eastAsia"/>
          <w:b/>
          <w:sz w:val="32"/>
          <w:szCs w:val="32"/>
        </w:rPr>
        <w:t>1.大力发展基础信息化建设</w:t>
      </w:r>
    </w:p>
    <w:p w14:paraId="33896F97">
      <w:pPr>
        <w:spacing w:before="0" w:beforeLines="0" w:after="0" w:afterLines="0" w:line="550" w:lineRule="exact"/>
        <w:ind w:firstLine="640" w:firstLineChars="200"/>
        <w:rPr>
          <w:sz w:val="32"/>
          <w:szCs w:val="32"/>
        </w:rPr>
      </w:pPr>
      <w:r>
        <w:rPr>
          <w:rFonts w:hint="eastAsia"/>
          <w:sz w:val="32"/>
          <w:szCs w:val="32"/>
        </w:rPr>
        <w:t>加强区域医疗卫生信息平台建设。构建完善的区域人口健康信息平台，建立动态更新的标准化电子健康档案和电子病历数据库，完善技术标准和安全防护体系，逐步实现居民基本健康信息和公共卫生、医疗服务、医疗保障、药品管理、综合管理等应用系统业务协同，促进医疗卫生、医保和药品管理、计划生育等系统对接、信息共享，推动建立综合监管、科学决策、精细服务的新模式。</w:t>
      </w:r>
    </w:p>
    <w:p w14:paraId="3D8C058E">
      <w:pPr>
        <w:spacing w:before="0" w:beforeLines="0" w:after="0" w:afterLines="0" w:line="550" w:lineRule="exact"/>
        <w:ind w:firstLine="640" w:firstLineChars="200"/>
        <w:rPr>
          <w:sz w:val="32"/>
          <w:szCs w:val="32"/>
        </w:rPr>
      </w:pPr>
      <w:r>
        <w:rPr>
          <w:rFonts w:hint="eastAsia"/>
          <w:sz w:val="32"/>
          <w:szCs w:val="32"/>
        </w:rPr>
        <w:t>加快推进数字化医院建设。推进医疗信息系统建设与应用，加强医疗卫生机构信息化建设，强化信息技术标准应用和数据安全管理。全面实施健康医疗信息惠民行动计划，方便居民预约诊疗、分时段就诊、共享检验检查结果、诊间付费以及医保费用的即时结算，为药品零售企业通过网上信息系统核实患者提供的医师处方提供便利。依靠大数据支撑，强化对医疗卫生服务的绩效考核和质量监管。2020年底，以电子病历为核心，建立起信息集成的临床信息系统；以病人服务为中心，建立起流程优化的医疗服务管理平台系统；以管理决策支持为目的，建立起来高效的医院运营信息系统；以医疗资源整合共享目标，建立起远程医疗服务平台系统；以知识管理为指导，建立起全面支持医、教、研、管的临床数据中心；以业务连续性为要求，建立起完整的临床业务灾备系统。区人民医院、中医院电子病历系统达到5级水平，其他公立医疗机构电子病历达到4级水平。</w:t>
      </w:r>
    </w:p>
    <w:p w14:paraId="07E5F349">
      <w:pPr>
        <w:spacing w:before="0" w:beforeLines="0" w:after="0" w:afterLines="0" w:line="550" w:lineRule="exact"/>
        <w:ind w:firstLine="640" w:firstLineChars="200"/>
        <w:rPr>
          <w:sz w:val="32"/>
          <w:szCs w:val="32"/>
        </w:rPr>
      </w:pPr>
      <w:r>
        <w:rPr>
          <w:rFonts w:hint="eastAsia"/>
          <w:sz w:val="32"/>
          <w:szCs w:val="32"/>
        </w:rPr>
        <w:t>加快推进社康中心信息化平台建设。大力推进全区社康中心统一的信息化平台建设工作，建立“全人群、全周期、全方位”的健康信息管理体系，系统模块包括居民健康档案、基本公共卫生服务、计生服务、基本医疗服务、双向转诊服务、药品目录、医保信息系统等，实现多种数据的互传与共享。建立社康中心业务直报系统。2020年底，建成统一、高效、功能全面的社康中心信息化平台。</w:t>
      </w:r>
    </w:p>
    <w:p w14:paraId="6B5115EE">
      <w:pPr>
        <w:spacing w:before="0" w:beforeLines="0" w:after="0" w:afterLines="0" w:line="550" w:lineRule="exact"/>
        <w:ind w:firstLine="640" w:firstLineChars="200"/>
        <w:rPr>
          <w:rFonts w:hAnsi="楷体_GB2312" w:cs="楷体_GB2312"/>
          <w:b/>
          <w:sz w:val="32"/>
          <w:szCs w:val="32"/>
        </w:rPr>
      </w:pPr>
      <w:r>
        <w:rPr>
          <w:rFonts w:hint="eastAsia"/>
          <w:b/>
          <w:sz w:val="32"/>
          <w:szCs w:val="32"/>
        </w:rPr>
        <w:t>2.探索互联网医疗服务新模式</w:t>
      </w:r>
    </w:p>
    <w:p w14:paraId="1DCD4925">
      <w:pPr>
        <w:spacing w:before="0" w:beforeLines="0" w:after="0" w:afterLines="0" w:line="550" w:lineRule="exact"/>
        <w:ind w:firstLine="640" w:firstLineChars="200"/>
        <w:rPr>
          <w:sz w:val="32"/>
          <w:szCs w:val="32"/>
        </w:rPr>
      </w:pPr>
      <w:r>
        <w:rPr>
          <w:rFonts w:hint="eastAsia"/>
          <w:sz w:val="32"/>
          <w:szCs w:val="32"/>
        </w:rPr>
        <w:t>探索互联网医疗服务新模式建设。积极应用移动互联网、物联网、云计算、可穿戴设备等新技术，推动惠及全民的健康信息服务和智慧医疗服务，推动健康大数据的应用，逐步转变服务模式，提高服务能力和管理水平。积极推动移动互联网、远程医疗服务等发展。普及应用居民健康卡，积极推进居民健康卡与社会保障卡、金融IC卡、市民服务卡等公共服务卡的应用集成，实现就医“一卡通”。依托国家电子政务网，构建与互联网安全隔离，联通各级平台和各级各类卫生计生机构，高效、安全、稳定的信息网络。实现各级医疗服务、医疗保障与公共卫生服务的信息共享与业务协同。</w:t>
      </w:r>
    </w:p>
    <w:p w14:paraId="3FB0B290">
      <w:pPr>
        <w:spacing w:before="0" w:beforeLines="0" w:after="0" w:afterLines="0" w:line="550" w:lineRule="exact"/>
        <w:ind w:firstLine="640" w:firstLineChars="200"/>
        <w:rPr>
          <w:rFonts w:ascii="黑体" w:hAnsi="黑体" w:eastAsia="黑体"/>
          <w:sz w:val="32"/>
          <w:szCs w:val="32"/>
        </w:rPr>
      </w:pPr>
      <w:r>
        <w:rPr>
          <w:rFonts w:hint="eastAsia" w:ascii="黑体" w:hAnsi="黑体" w:eastAsia="黑体"/>
          <w:sz w:val="32"/>
          <w:szCs w:val="32"/>
        </w:rPr>
        <w:t>四、推进计划生育管理服务转型</w:t>
      </w:r>
      <w:bookmarkStart w:id="25" w:name="_Toc424340851"/>
    </w:p>
    <w:p w14:paraId="2F26EBA8">
      <w:pPr>
        <w:spacing w:before="0" w:beforeLines="0" w:after="0" w:afterLines="0" w:line="550" w:lineRule="exact"/>
        <w:ind w:firstLine="640" w:firstLineChars="200"/>
        <w:rPr>
          <w:rFonts w:ascii="楷体_GB2312" w:hAnsi="楷体_GB2312" w:eastAsia="楷体_GB2312" w:cs="楷体_GB2312"/>
          <w:b/>
          <w:sz w:val="32"/>
          <w:szCs w:val="32"/>
        </w:rPr>
      </w:pPr>
      <w:bookmarkStart w:id="26" w:name="_Toc443406029"/>
      <w:r>
        <w:rPr>
          <w:rFonts w:hint="eastAsia" w:ascii="楷体_GB2312" w:hAnsi="楷体_GB2312" w:eastAsia="楷体_GB2312" w:cs="楷体_GB2312"/>
          <w:b/>
          <w:sz w:val="32"/>
          <w:szCs w:val="32"/>
        </w:rPr>
        <w:t>（一）依法实施全面二孩政策，转变考核模式</w:t>
      </w:r>
      <w:bookmarkEnd w:id="25"/>
      <w:r>
        <w:rPr>
          <w:rFonts w:hint="eastAsia" w:ascii="楷体_GB2312" w:hAnsi="楷体_GB2312" w:eastAsia="楷体_GB2312" w:cs="楷体_GB2312"/>
          <w:b/>
          <w:sz w:val="32"/>
          <w:szCs w:val="32"/>
        </w:rPr>
        <w:t>，创新管理模式</w:t>
      </w:r>
      <w:bookmarkEnd w:id="26"/>
    </w:p>
    <w:p w14:paraId="72FDEF0D">
      <w:pPr>
        <w:spacing w:before="0" w:beforeLines="0" w:after="0" w:afterLines="0" w:line="550" w:lineRule="exact"/>
        <w:ind w:firstLine="640" w:firstLineChars="200"/>
        <w:rPr>
          <w:sz w:val="32"/>
          <w:szCs w:val="32"/>
        </w:rPr>
      </w:pPr>
      <w:r>
        <w:rPr>
          <w:rFonts w:hint="eastAsia"/>
          <w:sz w:val="32"/>
          <w:szCs w:val="32"/>
        </w:rPr>
        <w:t>依法实施“全面二孩”政策。根据修订后的《人口与计划生育法》及相关法规制定配套实施政策，积极做好各项计划生育服务管理政策措施的衔接，维护人民群众的合法权益。</w:t>
      </w:r>
    </w:p>
    <w:p w14:paraId="74E6D495">
      <w:pPr>
        <w:spacing w:before="0" w:beforeLines="0" w:after="0" w:afterLines="0" w:line="550" w:lineRule="exact"/>
        <w:ind w:firstLine="640" w:firstLineChars="200"/>
        <w:rPr>
          <w:sz w:val="32"/>
          <w:szCs w:val="32"/>
        </w:rPr>
      </w:pPr>
      <w:r>
        <w:rPr>
          <w:rFonts w:hint="eastAsia"/>
          <w:sz w:val="32"/>
          <w:szCs w:val="32"/>
        </w:rPr>
        <w:t>强化计生目标管理责任制。加强对街道计划生育经常性工作、重点工作的指导，结合智慧福田和信息化网络建设，完善目标管理责任制考核机制，减少现场考核次数，加强后台监测和评估指导，提高基层工作人员业务水平，促进计划生育基层基础工作。</w:t>
      </w:r>
    </w:p>
    <w:p w14:paraId="47A390FB">
      <w:pPr>
        <w:spacing w:before="0" w:beforeLines="0" w:after="0" w:afterLines="0" w:line="550" w:lineRule="exact"/>
        <w:ind w:firstLine="640" w:firstLineChars="200"/>
        <w:rPr>
          <w:sz w:val="32"/>
          <w:szCs w:val="32"/>
        </w:rPr>
      </w:pPr>
      <w:r>
        <w:rPr>
          <w:rFonts w:hint="eastAsia"/>
          <w:sz w:val="32"/>
          <w:szCs w:val="32"/>
        </w:rPr>
        <w:t xml:space="preserve"> 推动计生管理模式创新。建设福田区数据比对及共享应用技术项目，转变数据筛选方式和数据监测模式。通过智慧福田大数据中心，与公安、出租屋管理部门完成数据比对工作，提高数据的精确性和安全性，切实提升全员人口信息系统的安全性和可靠性。</w:t>
      </w:r>
      <w:bookmarkStart w:id="27" w:name="_Toc443406030"/>
    </w:p>
    <w:p w14:paraId="451E0C34">
      <w:pPr>
        <w:spacing w:before="0" w:beforeLines="0" w:after="0" w:afterLines="0" w:line="550" w:lineRule="exact"/>
        <w:ind w:firstLine="640"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（二）加强流动人口计划生育均等化管理服务</w:t>
      </w:r>
      <w:bookmarkEnd w:id="27"/>
    </w:p>
    <w:p w14:paraId="19E06707">
      <w:pPr>
        <w:spacing w:before="0" w:beforeLines="0" w:after="0" w:afterLines="0" w:line="550" w:lineRule="exact"/>
        <w:ind w:firstLine="640" w:firstLineChars="200"/>
        <w:rPr>
          <w:sz w:val="32"/>
          <w:szCs w:val="32"/>
        </w:rPr>
      </w:pPr>
      <w:r>
        <w:rPr>
          <w:rFonts w:hint="eastAsia"/>
          <w:sz w:val="32"/>
          <w:szCs w:val="32"/>
        </w:rPr>
        <w:t>继续深化协作，加强流动人口计生服务和管理。从国家计划生育工作管理层面协调有关流出人口大省（直辖市），进一步深化流动人口计划生育区域协作工作，不断拓展流入地和流出地计划生育双向协作的广度和深度。继续推进流动人口计划生育基本公共服务均等化，抓好国家重点地区流动人口动态监测。完善网络信息系统功能，不断加强流动人口信息化建设,提高流动人口服务管理水平。</w:t>
      </w:r>
    </w:p>
    <w:p w14:paraId="3B6655DB">
      <w:pPr>
        <w:spacing w:before="0" w:beforeLines="0" w:after="0" w:afterLines="0" w:line="550" w:lineRule="exact"/>
        <w:ind w:firstLine="640" w:firstLineChars="200"/>
        <w:rPr>
          <w:rFonts w:ascii="楷体_GB2312" w:hAnsi="楷体_GB2312" w:eastAsia="楷体_GB2312" w:cs="楷体_GB2312"/>
          <w:b/>
          <w:sz w:val="32"/>
          <w:szCs w:val="32"/>
        </w:rPr>
      </w:pPr>
      <w:bookmarkStart w:id="28" w:name="_Toc424340852"/>
      <w:bookmarkStart w:id="29" w:name="_Toc443406031"/>
      <w:r>
        <w:rPr>
          <w:rFonts w:hint="eastAsia" w:ascii="楷体_GB2312" w:hAnsi="楷体_GB2312" w:eastAsia="楷体_GB2312" w:cs="楷体_GB2312"/>
          <w:b/>
          <w:sz w:val="32"/>
          <w:szCs w:val="32"/>
        </w:rPr>
        <w:t>（三）</w:t>
      </w:r>
      <w:bookmarkEnd w:id="28"/>
      <w:r>
        <w:rPr>
          <w:rFonts w:hint="eastAsia" w:ascii="楷体_GB2312" w:hAnsi="楷体_GB2312" w:eastAsia="楷体_GB2312" w:cs="楷体_GB2312"/>
          <w:b/>
          <w:sz w:val="32"/>
          <w:szCs w:val="32"/>
        </w:rPr>
        <w:t>深化计划生育服务模式改革</w:t>
      </w:r>
      <w:bookmarkEnd w:id="29"/>
    </w:p>
    <w:p w14:paraId="54EE788A">
      <w:pPr>
        <w:spacing w:before="0" w:beforeLines="0" w:after="0" w:afterLines="0" w:line="550" w:lineRule="exact"/>
        <w:ind w:firstLine="640" w:firstLineChars="200"/>
        <w:rPr>
          <w:sz w:val="32"/>
          <w:szCs w:val="32"/>
        </w:rPr>
      </w:pPr>
      <w:r>
        <w:rPr>
          <w:rFonts w:hint="eastAsia"/>
          <w:sz w:val="32"/>
          <w:szCs w:val="32"/>
        </w:rPr>
        <w:t>加强优生优育服务，提高出生人口素质。建立完善的“政府主导、部门配合、专家支撑、群众参与”的优生优育工作机制。加强基层优生优育服务能力建设，针对育龄群众、计划怀孕夫妇、已怀孕夫妇、已生育夫妇开展针对性强的优生优育服务。不断加强出生缺陷三级预防工作。</w:t>
      </w:r>
    </w:p>
    <w:p w14:paraId="64F50773">
      <w:pPr>
        <w:spacing w:before="0" w:beforeLines="0" w:after="0" w:afterLines="0" w:line="550" w:lineRule="exact"/>
        <w:ind w:firstLine="640" w:firstLineChars="200"/>
        <w:rPr>
          <w:sz w:val="32"/>
          <w:szCs w:val="32"/>
        </w:rPr>
      </w:pPr>
      <w:r>
        <w:rPr>
          <w:rFonts w:hint="eastAsia"/>
          <w:sz w:val="32"/>
          <w:szCs w:val="32"/>
        </w:rPr>
        <w:t>强化免费孕前优生检查。整合卫生计生资源，发挥卫生的技术资源优势和计生的行政资源和网络资源优势，实现卫生计生服务一体化，增强计划生育技术服务水平，降低出生缺陷发生风险，提高出生人口素质。协助做好计划生育服务证、孕期检查计划生育证明的办理工作，同时为服务对象提供免费孕前优生健康检查和免费孕情检查“两服务”的一站式服务模式。为辖区居民提供更全面、更便捷、更优质的卫生计生服务，促进家庭幸福和居民健康。</w:t>
      </w:r>
    </w:p>
    <w:p w14:paraId="280560CD">
      <w:pPr>
        <w:spacing w:before="0" w:beforeLines="0" w:after="0" w:afterLines="0" w:line="550" w:lineRule="exact"/>
        <w:ind w:firstLine="640" w:firstLineChars="200"/>
        <w:rPr>
          <w:sz w:val="32"/>
          <w:szCs w:val="32"/>
        </w:rPr>
      </w:pPr>
      <w:r>
        <w:rPr>
          <w:rFonts w:hint="eastAsia"/>
          <w:sz w:val="32"/>
          <w:szCs w:val="32"/>
        </w:rPr>
        <w:t>推进家庭发展能力建设，促进科学育儿项目。通过倡导科学育儿理念，创造科学育儿条件，普及科学育儿知识，帮助0-3岁婴幼家长学习掌握和运用科学育儿知识，探索科学育儿服务的最佳模式，打造具有福田特色的科学育儿品牌。</w:t>
      </w:r>
    </w:p>
    <w:p w14:paraId="28C50E26">
      <w:pPr>
        <w:spacing w:before="0" w:beforeLines="0" w:after="0" w:afterLines="0" w:line="550" w:lineRule="exact"/>
        <w:ind w:firstLine="640" w:firstLineChars="200"/>
        <w:rPr>
          <w:sz w:val="32"/>
          <w:szCs w:val="32"/>
        </w:rPr>
      </w:pPr>
      <w:r>
        <w:rPr>
          <w:rFonts w:hint="eastAsia"/>
          <w:sz w:val="32"/>
          <w:szCs w:val="32"/>
        </w:rPr>
        <w:t>执行调整后的生育政策，全面贯彻落实一对夫妇可生育两个子女，提升计划生育服务管理水平。对政策调整前自愿终身只生育一个子女的夫妇，继续实行独生子女父母奖励优惠政策。落实计划生育家庭扶助办法，对计划生育特别扶助对象，给予资金、医疗、养老、精神慰藉等帮扶。</w:t>
      </w:r>
    </w:p>
    <w:p w14:paraId="3C5BEACC">
      <w:pPr>
        <w:spacing w:before="163" w:after="163" w:line="550" w:lineRule="exact"/>
        <w:jc w:val="center"/>
        <w:rPr>
          <w:rFonts w:ascii="方正小标宋_GBK" w:hAnsi="方正小标宋_GBK" w:eastAsia="方正小标宋_GBK" w:cs="方正小标宋_GBK"/>
          <w:b/>
          <w:bCs/>
          <w:sz w:val="32"/>
          <w:szCs w:val="32"/>
        </w:rPr>
      </w:pPr>
      <w:bookmarkStart w:id="30" w:name="_Toc424340860"/>
      <w:bookmarkStart w:id="31" w:name="_Toc443406043"/>
      <w:r>
        <w:rPr>
          <w:rFonts w:hint="eastAsia" w:ascii="方正小标宋_GBK" w:hAnsi="方正小标宋_GBK" w:eastAsia="方正小标宋_GBK" w:cs="方正小标宋_GBK"/>
          <w:sz w:val="32"/>
          <w:szCs w:val="32"/>
        </w:rPr>
        <w:t>第四章 组织保障</w:t>
      </w:r>
      <w:bookmarkEnd w:id="30"/>
      <w:bookmarkEnd w:id="31"/>
    </w:p>
    <w:p w14:paraId="7E5436D7">
      <w:pPr>
        <w:spacing w:before="0" w:beforeLines="0" w:after="0" w:afterLines="0" w:line="550" w:lineRule="exact"/>
        <w:ind w:firstLine="640" w:firstLineChars="200"/>
        <w:rPr>
          <w:rFonts w:ascii="黑体" w:hAnsi="黑体" w:eastAsia="黑体"/>
          <w:sz w:val="32"/>
          <w:szCs w:val="32"/>
        </w:rPr>
      </w:pPr>
      <w:bookmarkStart w:id="32" w:name="_Toc443406044"/>
      <w:bookmarkStart w:id="33" w:name="_Toc424340861"/>
      <w:r>
        <w:rPr>
          <w:rFonts w:hint="eastAsia" w:ascii="黑体" w:hAnsi="黑体" w:eastAsia="黑体"/>
          <w:sz w:val="32"/>
          <w:szCs w:val="32"/>
        </w:rPr>
        <w:t>一、切实转变政府职能，加强社会治理</w:t>
      </w:r>
      <w:bookmarkEnd w:id="32"/>
      <w:bookmarkEnd w:id="33"/>
    </w:p>
    <w:p w14:paraId="58C57504">
      <w:pPr>
        <w:spacing w:before="0" w:beforeLines="0" w:after="0" w:afterLines="0" w:line="550" w:lineRule="exact"/>
        <w:ind w:firstLine="640" w:firstLineChars="200"/>
        <w:rPr>
          <w:sz w:val="32"/>
          <w:szCs w:val="32"/>
        </w:rPr>
      </w:pPr>
      <w:r>
        <w:rPr>
          <w:rFonts w:hint="eastAsia"/>
          <w:sz w:val="32"/>
          <w:szCs w:val="32"/>
        </w:rPr>
        <w:t>进一步转变政府职能，深化行政体制改革，创新行政管理方式，增强政府公信力和执行力，加快推进政企分开、政事分开，减少政府对微观经济活动的干预，加强市场监管，推进社会管理体制改革，切实有效地加大公共产品和公共服务的供给，加快建设法治政府和服务型政府。加强统筹协调，建立协调统一的管理体制，提高行政效率。</w:t>
      </w:r>
    </w:p>
    <w:p w14:paraId="0207720B">
      <w:pPr>
        <w:spacing w:before="0" w:beforeLines="0" w:after="0" w:afterLines="0" w:line="550" w:lineRule="exact"/>
        <w:ind w:firstLine="640" w:firstLineChars="200"/>
        <w:rPr>
          <w:sz w:val="32"/>
          <w:szCs w:val="32"/>
        </w:rPr>
      </w:pPr>
      <w:r>
        <w:rPr>
          <w:rFonts w:hint="eastAsia"/>
          <w:sz w:val="32"/>
          <w:szCs w:val="32"/>
        </w:rPr>
        <w:t>加强社会治理，充分发挥各行业协会职能。支持建立健康服务行业组织，通过行政授权、购买服务等方式，将适宜行业组织行使的职责委托或转移给行业组织，强化服务监管。发挥行业组织在行业咨询、标准制定、行业自律、人才培养和第三方评价等方面的重要作用。</w:t>
      </w:r>
    </w:p>
    <w:p w14:paraId="031C1D41">
      <w:pPr>
        <w:spacing w:before="0" w:beforeLines="0" w:after="0" w:afterLines="0" w:line="550" w:lineRule="exact"/>
        <w:ind w:firstLine="640" w:firstLineChars="200"/>
        <w:rPr>
          <w:sz w:val="32"/>
          <w:szCs w:val="32"/>
        </w:rPr>
      </w:pPr>
      <w:bookmarkStart w:id="34" w:name="_Toc443406045"/>
      <w:r>
        <w:rPr>
          <w:rFonts w:hint="eastAsia" w:ascii="黑体" w:hAnsi="黑体" w:eastAsia="黑体"/>
          <w:sz w:val="32"/>
          <w:szCs w:val="32"/>
        </w:rPr>
        <w:t>二、加大政府投入，保障持续发展</w:t>
      </w:r>
      <w:bookmarkEnd w:id="34"/>
    </w:p>
    <w:p w14:paraId="12F61CA6">
      <w:pPr>
        <w:spacing w:before="0" w:beforeLines="0" w:after="0" w:afterLines="0" w:line="550" w:lineRule="exact"/>
        <w:ind w:firstLine="640" w:firstLineChars="200"/>
        <w:rPr>
          <w:sz w:val="32"/>
          <w:szCs w:val="32"/>
        </w:rPr>
      </w:pPr>
      <w:r>
        <w:rPr>
          <w:rFonts w:hint="eastAsia"/>
          <w:sz w:val="32"/>
          <w:szCs w:val="32"/>
        </w:rPr>
        <w:t>完善政府投入机制,</w:t>
      </w:r>
      <w:r>
        <w:rPr>
          <w:rFonts w:hint="eastAsia" w:ascii="黑体" w:hAnsi="黑体"/>
          <w:sz w:val="32"/>
          <w:szCs w:val="32"/>
        </w:rPr>
        <w:t>加大政府投入，</w:t>
      </w:r>
      <w:r>
        <w:rPr>
          <w:rFonts w:hint="eastAsia"/>
          <w:sz w:val="32"/>
          <w:szCs w:val="32"/>
        </w:rPr>
        <w:t>保障卫生和计划生育事业发展经费。根据我区经济发展状况，保持卫生和计划生育事业发展常规投入适度增长。逐步将该举措纳入政府工作常态，促进卫生和计划生育事业可持续性发展。改革财政补助方式，创新政府购买服务机制，强化政府投入的绩效考核。</w:t>
      </w:r>
    </w:p>
    <w:p w14:paraId="3A4A58FE">
      <w:pPr>
        <w:spacing w:before="0" w:beforeLines="0" w:after="0" w:afterLines="0" w:line="550" w:lineRule="exact"/>
        <w:ind w:firstLine="640" w:firstLineChars="200"/>
        <w:rPr>
          <w:sz w:val="32"/>
          <w:szCs w:val="32"/>
        </w:rPr>
      </w:pPr>
      <w:r>
        <w:rPr>
          <w:rFonts w:hint="eastAsia"/>
          <w:sz w:val="32"/>
          <w:szCs w:val="32"/>
        </w:rPr>
        <w:t>调整政府投入结构,逐步提高政府对重点学科发展、家庭医生、医联体、人才培养、符合国家规定的离退休人员费用和政策性亏损补贴等软实力项目的投入比重。</w:t>
      </w:r>
    </w:p>
    <w:p w14:paraId="2874A002">
      <w:pPr>
        <w:spacing w:before="0" w:beforeLines="0" w:after="0" w:afterLines="0" w:line="550" w:lineRule="exact"/>
        <w:ind w:firstLine="640" w:firstLineChars="200"/>
        <w:rPr>
          <w:sz w:val="32"/>
          <w:szCs w:val="32"/>
        </w:rPr>
      </w:pPr>
      <w:r>
        <w:rPr>
          <w:rFonts w:hint="eastAsia"/>
          <w:sz w:val="32"/>
          <w:szCs w:val="32"/>
        </w:rPr>
        <w:t>保障计生服务经费，扩大受益面。逐步加大计生工作政府投入力度，进一步强化计划生育服务能力，扩大优生优育检查、计划生育服务等覆盖面，实现免费技术服务项目全覆盖。根据全面放开二孩生育政策，科学调整计划生育相关扶助项目补助标准。</w:t>
      </w:r>
    </w:p>
    <w:p w14:paraId="7DC486E8">
      <w:pPr>
        <w:spacing w:before="0" w:beforeLines="0" w:after="0" w:afterLines="0" w:line="550" w:lineRule="exact"/>
        <w:ind w:firstLine="640" w:firstLineChars="200"/>
        <w:rPr>
          <w:rFonts w:ascii="黑体" w:hAnsi="黑体" w:eastAsia="黑体"/>
          <w:sz w:val="32"/>
          <w:szCs w:val="32"/>
        </w:rPr>
      </w:pPr>
      <w:bookmarkStart w:id="35" w:name="_Toc424340862"/>
      <w:bookmarkStart w:id="36" w:name="_Toc443406046"/>
      <w:r>
        <w:rPr>
          <w:rFonts w:hint="eastAsia" w:ascii="黑体" w:hAnsi="黑体" w:eastAsia="黑体"/>
          <w:sz w:val="32"/>
          <w:szCs w:val="32"/>
        </w:rPr>
        <w:t>三、加强健康教育宣传，</w:t>
      </w:r>
      <w:bookmarkEnd w:id="35"/>
      <w:r>
        <w:rPr>
          <w:rFonts w:hint="eastAsia" w:ascii="黑体" w:hAnsi="黑体" w:eastAsia="黑体"/>
          <w:sz w:val="32"/>
          <w:szCs w:val="32"/>
        </w:rPr>
        <w:t>营造良好氛围</w:t>
      </w:r>
      <w:bookmarkEnd w:id="36"/>
    </w:p>
    <w:p w14:paraId="6F73E692">
      <w:pPr>
        <w:spacing w:before="0" w:beforeLines="0" w:after="0" w:afterLines="0" w:line="550" w:lineRule="exact"/>
        <w:ind w:firstLine="640" w:firstLineChars="200"/>
        <w:rPr>
          <w:sz w:val="32"/>
          <w:szCs w:val="32"/>
        </w:rPr>
      </w:pPr>
      <w:r>
        <w:rPr>
          <w:rFonts w:hint="eastAsia"/>
          <w:sz w:val="32"/>
          <w:szCs w:val="32"/>
        </w:rPr>
        <w:t>加强舆论引导，营造全社会重视和促进健康的社会风气。支持广播、电视、报刊、网络等媒体开办专门的节目栏目和版面，开展健康文化宣传和知识普及活动。弘扬大医精诚理念，加强职业道德建设，不断提升从业人员的职业素质。依法严厉打击非法行医和虚假宣传中药、保健食品、医疗机构等违法违规行为。</w:t>
      </w:r>
    </w:p>
    <w:p w14:paraId="080220A7">
      <w:pPr>
        <w:spacing w:before="0" w:beforeLines="0" w:after="0" w:afterLines="0" w:line="550" w:lineRule="exact"/>
        <w:ind w:firstLine="640" w:firstLineChars="200"/>
        <w:rPr>
          <w:sz w:val="32"/>
          <w:szCs w:val="32"/>
        </w:rPr>
      </w:pPr>
      <w:r>
        <w:rPr>
          <w:rFonts w:hint="eastAsia"/>
          <w:sz w:val="32"/>
          <w:szCs w:val="32"/>
        </w:rPr>
        <w:t>及时发布机构设置和规划布局调整等信息，将纳入规划作为建设项目立项的前提条件。各部门、各机构要将本规划确定的主要目标和指标纳入本机构中长期计划，对主要指标设置年度目标，明确职责，合理配置公共资源，认真组织落实，有序推进各项重点工作。各有关部门各司其责，密切配合，有序推进。</w:t>
      </w:r>
    </w:p>
    <w:p w14:paraId="13C5F3F9">
      <w:pPr>
        <w:spacing w:before="0" w:beforeLines="0" w:after="0" w:afterLines="0" w:line="550" w:lineRule="exact"/>
        <w:ind w:firstLine="640" w:firstLineChars="200"/>
        <w:rPr>
          <w:szCs w:val="32"/>
        </w:rPr>
      </w:pPr>
      <w:r>
        <w:rPr>
          <w:rFonts w:hint="eastAsia"/>
          <w:sz w:val="32"/>
          <w:szCs w:val="32"/>
        </w:rPr>
        <w:t>建立规划动态监测评估机制。加强监测评估能力建设，定期评估规划的实施情况，监督重大项目的执行情况。规范监测和评估程序，完善评价体系和评价办法，提高监测评估的科学性、公开性与透明度。开展年度考核，建立规划中期和末期评估制度，对规划实施进度和实施效果开展全面评估，及时发现问题，研究解决对策。</w:t>
      </w:r>
    </w:p>
    <w:p w14:paraId="34A137EA">
      <w:pPr>
        <w:spacing w:before="163" w:after="163"/>
        <w:rPr>
          <w:rFonts w:hint="eastAsia" w:ascii="黑体" w:hAnsi="黑体" w:eastAsia="黑体"/>
          <w:sz w:val="32"/>
        </w:rPr>
      </w:pPr>
      <w:bookmarkStart w:id="37" w:name="_Toc443406047"/>
    </w:p>
    <w:p w14:paraId="3E912288">
      <w:pPr>
        <w:spacing w:before="163" w:after="163"/>
        <w:rPr>
          <w:rFonts w:hint="eastAsia" w:ascii="黑体" w:hAnsi="黑体" w:eastAsia="黑体"/>
          <w:sz w:val="32"/>
        </w:rPr>
      </w:pPr>
    </w:p>
    <w:p w14:paraId="55A961E9">
      <w:pPr>
        <w:spacing w:before="163" w:after="163"/>
        <w:rPr>
          <w:rFonts w:ascii="黑体" w:hAnsi="黑体" w:eastAsia="黑体"/>
          <w:sz w:val="32"/>
        </w:rPr>
      </w:pPr>
      <w:r>
        <w:rPr>
          <w:rFonts w:hint="eastAsia" w:ascii="黑体" w:hAnsi="黑体" w:eastAsia="黑体"/>
          <w:sz w:val="32"/>
        </w:rPr>
        <w:t>附件1</w:t>
      </w:r>
    </w:p>
    <w:p w14:paraId="2CB3F2DA">
      <w:pPr>
        <w:spacing w:before="163" w:after="163"/>
        <w:jc w:val="center"/>
        <w:rPr>
          <w:rFonts w:ascii="方正小标宋简体" w:eastAsia="方正小标宋简体"/>
          <w:sz w:val="36"/>
          <w:szCs w:val="36"/>
        </w:rPr>
      </w:pPr>
      <w:r>
        <w:rPr>
          <w:rFonts w:hint="eastAsia" w:ascii="方正小标宋简体" w:eastAsia="方正小标宋简体"/>
          <w:sz w:val="36"/>
          <w:szCs w:val="36"/>
        </w:rPr>
        <w:t>福田区卫生和计划生育事业“十三五”六大品牌项目</w:t>
      </w:r>
      <w:bookmarkEnd w:id="37"/>
    </w:p>
    <w:tbl>
      <w:tblPr>
        <w:tblStyle w:val="10"/>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9"/>
      </w:tblGrid>
      <w:tr w14:paraId="6B56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9" w:type="dxa"/>
          </w:tcPr>
          <w:p w14:paraId="4EF20B7A">
            <w:pPr>
              <w:numPr>
                <w:ilvl w:val="0"/>
                <w:numId w:val="1"/>
              </w:numPr>
              <w:shd w:val="clear" w:color="010000" w:fill="auto"/>
              <w:spacing w:before="163" w:after="163" w:line="320" w:lineRule="exact"/>
              <w:ind w:left="422" w:hanging="420" w:hangingChars="175"/>
              <w:contextualSpacing/>
              <w:jc w:val="left"/>
              <w:rPr>
                <w:rFonts w:hAnsi="仿宋_GB2312" w:cs="仿宋_GB2312"/>
                <w:szCs w:val="24"/>
              </w:rPr>
            </w:pPr>
            <w:r>
              <w:rPr>
                <w:rFonts w:hint="eastAsia" w:hAnsi="仿宋_GB2312" w:cs="仿宋_GB2312"/>
                <w:b/>
                <w:szCs w:val="24"/>
              </w:rPr>
              <w:t>医联体——构建分级诊疗项目：</w:t>
            </w:r>
            <w:r>
              <w:rPr>
                <w:rFonts w:hint="eastAsia" w:hAnsi="仿宋_GB2312" w:cs="仿宋_GB2312"/>
                <w:szCs w:val="24"/>
              </w:rPr>
              <w:t>依托医联体，构建基层首诊、双向转诊、急慢分治、上下联动的分级诊疗模式。基层医疗卫生机构提供基本医疗和转诊服务。上级医院对经基层和全科医生预约或转诊的患者提供优先接诊、优先检查、优先住院等服务，为基层医疗卫生机构增加三甲公立医院预约挂号、转诊的服务号源。探索上级医院出具治疗方案，在下级医院或基层医疗卫生机构实施治疗，上级医院专家组成团队，对下转慢性病和康复等患者进行管理和指导的新模式。</w:t>
            </w:r>
          </w:p>
          <w:p w14:paraId="0F228D81">
            <w:pPr>
              <w:numPr>
                <w:ilvl w:val="0"/>
                <w:numId w:val="1"/>
              </w:numPr>
              <w:shd w:val="clear" w:color="010000" w:fill="auto"/>
              <w:spacing w:before="163" w:after="163" w:line="320" w:lineRule="exact"/>
              <w:ind w:left="422" w:hanging="420" w:hangingChars="175"/>
              <w:contextualSpacing/>
              <w:jc w:val="left"/>
              <w:rPr>
                <w:rFonts w:hAnsi="仿宋_GB2312" w:cs="仿宋_GB2312"/>
                <w:szCs w:val="24"/>
              </w:rPr>
            </w:pPr>
            <w:r>
              <w:rPr>
                <w:rFonts w:hint="eastAsia" w:hAnsi="仿宋_GB2312" w:cs="仿宋_GB2312"/>
                <w:b/>
                <w:bCs/>
                <w:szCs w:val="24"/>
              </w:rPr>
              <w:t>家庭医生——构建社区首诊项目：</w:t>
            </w:r>
            <w:r>
              <w:rPr>
                <w:rFonts w:hint="eastAsia" w:hAnsi="仿宋_GB2312" w:cs="仿宋_GB2312"/>
                <w:szCs w:val="24"/>
              </w:rPr>
              <w:t>家庭医生以居民电子健康档案为基础，为签约居民提供健康管理与咨询服务。利用信息化网络系统，提高对高血压和糖尿病等慢病人群的规范管理率和控制率，减少或延缓慢性病并发症的发生。定期对65岁以上老年人进行健康体检，提高疾病的早诊率和早治率。为签约居民提供疾病初级诊疗和转诊转介服务，协调市级、区级医院通过预留门诊号源、建立绿色转诊通道，引导居民社区首诊，有序就医。</w:t>
            </w:r>
          </w:p>
          <w:p w14:paraId="16233C9A">
            <w:pPr>
              <w:numPr>
                <w:ilvl w:val="0"/>
                <w:numId w:val="1"/>
              </w:numPr>
              <w:shd w:val="clear" w:color="010000" w:fill="auto"/>
              <w:spacing w:before="163" w:after="163" w:line="320" w:lineRule="exact"/>
              <w:ind w:left="422" w:hanging="420" w:hangingChars="175"/>
              <w:contextualSpacing/>
              <w:jc w:val="left"/>
              <w:rPr>
                <w:rFonts w:hAnsi="仿宋_GB2312" w:cs="仿宋_GB2312"/>
                <w:szCs w:val="24"/>
              </w:rPr>
            </w:pPr>
            <w:r>
              <w:rPr>
                <w:rFonts w:hint="eastAsia" w:hAnsi="仿宋_GB2312" w:cs="仿宋_GB2312"/>
                <w:b/>
                <w:bCs/>
                <w:szCs w:val="24"/>
              </w:rPr>
              <w:t>医养结合——打造幸福晚年项目：</w:t>
            </w:r>
            <w:r>
              <w:rPr>
                <w:rFonts w:hint="eastAsia" w:hAnsi="仿宋_GB2312" w:cs="仿宋_GB2312"/>
                <w:szCs w:val="24"/>
              </w:rPr>
              <w:t>建立健全医疗卫生机构与养老机构合作机制。鼓励基层医疗卫生机构与养老机构合作，为养老机构开通预约就诊绿色通道，支持养老机构申请设置医疗机构，开展医疗服务。通过多种形式，推动医疗卫生服务延伸至社区、家庭，为慢性病、老年病等患者提供老年护理、家庭护理、社区护理及家庭病床等服务。</w:t>
            </w:r>
          </w:p>
          <w:p w14:paraId="71E81CC7">
            <w:pPr>
              <w:numPr>
                <w:ilvl w:val="0"/>
                <w:numId w:val="2"/>
              </w:numPr>
              <w:shd w:val="clear" w:color="010000" w:fill="auto"/>
              <w:spacing w:before="163" w:after="163" w:line="320" w:lineRule="exact"/>
              <w:ind w:left="422" w:hanging="420" w:hangingChars="175"/>
              <w:contextualSpacing/>
              <w:jc w:val="left"/>
              <w:rPr>
                <w:rFonts w:hAnsi="仿宋_GB2312" w:cs="仿宋_GB2312"/>
                <w:szCs w:val="24"/>
              </w:rPr>
            </w:pPr>
            <w:r>
              <w:rPr>
                <w:rFonts w:hint="eastAsia" w:hAnsi="仿宋_GB2312" w:cs="仿宋_GB2312"/>
                <w:b/>
                <w:bCs/>
                <w:szCs w:val="24"/>
              </w:rPr>
              <w:t>健康素养——打造健康城区项目：</w:t>
            </w:r>
            <w:r>
              <w:rPr>
                <w:rFonts w:hint="eastAsia" w:hAnsi="仿宋_GB2312" w:cs="仿宋_GB2312"/>
                <w:szCs w:val="24"/>
              </w:rPr>
              <w:t>加强健康教育体系建设，健全和完善社会化大健康教育服务网络体系。深入推进健康教育“双百工程”（百场健康讲座、百个健康书吧），推广微信、微博健康传播平台，构建立体多维传播体系。充分利用传统媒体和新媒体，促进健康素养知识传播普及。开展居民健康素养监测，针对健康素养主要问题实施重点宣教，培养人群健康行为。</w:t>
            </w:r>
          </w:p>
          <w:p w14:paraId="59644604">
            <w:pPr>
              <w:numPr>
                <w:ilvl w:val="0"/>
                <w:numId w:val="2"/>
              </w:numPr>
              <w:shd w:val="clear" w:color="010000" w:fill="auto"/>
              <w:spacing w:before="163" w:after="163" w:line="320" w:lineRule="exact"/>
              <w:ind w:left="422" w:hanging="420" w:hangingChars="175"/>
              <w:contextualSpacing/>
              <w:jc w:val="left"/>
              <w:rPr>
                <w:rFonts w:hAnsi="仿宋_GB2312" w:cs="仿宋_GB2312"/>
                <w:szCs w:val="24"/>
              </w:rPr>
            </w:pPr>
            <w:r>
              <w:rPr>
                <w:rFonts w:hint="eastAsia" w:hAnsi="仿宋_GB2312" w:cs="仿宋_GB2312"/>
                <w:b/>
                <w:bCs/>
                <w:szCs w:val="24"/>
              </w:rPr>
              <w:t>妇幼健康——创建幸福家庭项目：</w:t>
            </w:r>
            <w:r>
              <w:rPr>
                <w:rFonts w:hint="eastAsia" w:hAnsi="仿宋_GB2312" w:cs="仿宋_GB2312"/>
                <w:szCs w:val="24"/>
              </w:rPr>
              <w:t xml:space="preserve">推动妇幼保健机构和计生技术服务机构资源整合优化，发挥公共卫生资源最大效能。积极推进“降消”、“免费孕前优生健康检查”、“两癌”筛查等妇幼免费公共卫生服务项目及妇幼安康工程，不断巩固和提高全人口孕产妇系统管理率和儿童系统管理率。建立完善孕产妇及新生儿医疗急救网络，设置医疗急救“绿色通道”，不断提升孕产妇、新生儿急危重症抢救能力，稳定降低孕产妇和婴儿死亡率。创建国家、省妇幼健康优质服务示范区，树立妇幼健康优质服务品牌。 </w:t>
            </w:r>
          </w:p>
          <w:p w14:paraId="4673028D">
            <w:pPr>
              <w:numPr>
                <w:ilvl w:val="0"/>
                <w:numId w:val="1"/>
              </w:numPr>
              <w:shd w:val="clear" w:color="010000" w:fill="auto"/>
              <w:spacing w:before="163" w:after="163" w:line="320" w:lineRule="exact"/>
              <w:ind w:left="422" w:hanging="420" w:hangingChars="175"/>
              <w:contextualSpacing/>
              <w:jc w:val="left"/>
              <w:rPr>
                <w:rFonts w:ascii="楷体_GB2312" w:hAnsi="楷体_GB2312" w:eastAsia="楷体_GB2312" w:cs="楷体_GB2312"/>
                <w:sz w:val="28"/>
                <w:szCs w:val="28"/>
              </w:rPr>
            </w:pPr>
            <w:r>
              <w:rPr>
                <w:rFonts w:hint="eastAsia" w:hAnsi="仿宋_GB2312" w:cs="仿宋_GB2312"/>
                <w:b/>
                <w:bCs/>
                <w:szCs w:val="24"/>
              </w:rPr>
              <w:t>阳光心理——创建幸福福田项目：</w:t>
            </w:r>
            <w:r>
              <w:rPr>
                <w:rFonts w:hint="eastAsia" w:hAnsi="仿宋_GB2312" w:cs="仿宋_GB2312"/>
                <w:szCs w:val="24"/>
              </w:rPr>
              <w:t>搭建集心理测评、心理咨询、案例督导、数据分析、共享及管理为一体的福田区心理健康管理信息化平台。开展群体心理健康测评工作,组建和培养一支专业的心理危机干预队伍,提供心理咨询和援助服务,拓宽心理健康资讯推送渠道，为市民提供随手可得的心理健康资讯。</w:t>
            </w:r>
          </w:p>
        </w:tc>
      </w:tr>
    </w:tbl>
    <w:p w14:paraId="43AE30AC">
      <w:pPr>
        <w:spacing w:before="163" w:after="163"/>
      </w:pPr>
      <w:bookmarkStart w:id="38" w:name="_Toc443406048"/>
      <w:r>
        <w:rPr>
          <w:rFonts w:hint="eastAsia" w:ascii="黑体" w:hAnsi="黑体" w:eastAsia="黑体"/>
          <w:sz w:val="32"/>
          <w:szCs w:val="32"/>
        </w:rPr>
        <w:t>附件2</w:t>
      </w:r>
    </w:p>
    <w:p w14:paraId="22ACD89F">
      <w:pPr>
        <w:spacing w:before="163" w:after="163"/>
        <w:jc w:val="center"/>
        <w:rPr>
          <w:rFonts w:ascii="方正小标宋_GBK" w:eastAsia="方正小标宋_GBK"/>
          <w:sz w:val="36"/>
        </w:rPr>
      </w:pPr>
      <w:r>
        <w:rPr>
          <w:rFonts w:hint="eastAsia" w:ascii="方正小标宋_GBK" w:eastAsia="方正小标宋_GBK"/>
          <w:sz w:val="36"/>
        </w:rPr>
        <w:t>福田区卫生和计划生育事业“十三五”期间重大工程</w:t>
      </w:r>
      <w:bookmarkEnd w:id="38"/>
    </w:p>
    <w:tbl>
      <w:tblPr>
        <w:tblStyle w:val="10"/>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680"/>
        <w:gridCol w:w="5130"/>
        <w:gridCol w:w="1472"/>
      </w:tblGrid>
      <w:tr w14:paraId="023C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6" w:type="dxa"/>
            <w:vAlign w:val="center"/>
          </w:tcPr>
          <w:p w14:paraId="2E7B9547">
            <w:pPr>
              <w:spacing w:before="0" w:beforeLines="0" w:after="0" w:afterLines="0" w:line="330" w:lineRule="exact"/>
              <w:jc w:val="center"/>
              <w:rPr>
                <w:rFonts w:hint="eastAsia" w:ascii="黑体" w:hAnsi="黑体" w:eastAsia="黑体" w:cs="黑体"/>
                <w:bCs/>
                <w:sz w:val="24"/>
                <w:szCs w:val="24"/>
              </w:rPr>
            </w:pPr>
            <w:r>
              <w:rPr>
                <w:rFonts w:hint="eastAsia" w:ascii="黑体" w:hAnsi="黑体" w:eastAsia="黑体" w:cs="黑体"/>
                <w:bCs/>
                <w:sz w:val="24"/>
                <w:szCs w:val="24"/>
              </w:rPr>
              <w:t>序号</w:t>
            </w:r>
          </w:p>
        </w:tc>
        <w:tc>
          <w:tcPr>
            <w:tcW w:w="1680" w:type="dxa"/>
            <w:vAlign w:val="center"/>
          </w:tcPr>
          <w:p w14:paraId="1F79ED82">
            <w:pPr>
              <w:spacing w:before="0" w:beforeLines="0" w:after="0" w:afterLines="0" w:line="330" w:lineRule="exact"/>
              <w:jc w:val="center"/>
              <w:rPr>
                <w:rFonts w:hint="eastAsia" w:ascii="黑体" w:hAnsi="黑体" w:eastAsia="黑体" w:cs="黑体"/>
                <w:bCs/>
                <w:sz w:val="24"/>
                <w:szCs w:val="24"/>
              </w:rPr>
            </w:pPr>
            <w:r>
              <w:rPr>
                <w:rFonts w:hint="eastAsia" w:ascii="黑体" w:hAnsi="黑体" w:eastAsia="黑体" w:cs="黑体"/>
                <w:bCs/>
                <w:sz w:val="24"/>
                <w:szCs w:val="24"/>
              </w:rPr>
              <w:t>重大工程</w:t>
            </w:r>
          </w:p>
        </w:tc>
        <w:tc>
          <w:tcPr>
            <w:tcW w:w="5130" w:type="dxa"/>
            <w:vAlign w:val="center"/>
          </w:tcPr>
          <w:p w14:paraId="1504A14C">
            <w:pPr>
              <w:spacing w:before="0" w:beforeLines="0" w:after="0" w:afterLines="0" w:line="330" w:lineRule="exact"/>
              <w:jc w:val="center"/>
              <w:rPr>
                <w:rFonts w:hint="eastAsia" w:ascii="黑体" w:hAnsi="黑体" w:eastAsia="黑体" w:cs="黑体"/>
                <w:bCs/>
                <w:sz w:val="24"/>
                <w:szCs w:val="24"/>
              </w:rPr>
            </w:pPr>
            <w:r>
              <w:rPr>
                <w:rFonts w:hint="eastAsia" w:ascii="黑体" w:hAnsi="黑体" w:eastAsia="黑体" w:cs="黑体"/>
                <w:bCs/>
                <w:sz w:val="24"/>
                <w:szCs w:val="24"/>
              </w:rPr>
              <w:t>内容</w:t>
            </w:r>
          </w:p>
        </w:tc>
        <w:tc>
          <w:tcPr>
            <w:tcW w:w="1472" w:type="dxa"/>
            <w:vAlign w:val="center"/>
          </w:tcPr>
          <w:p w14:paraId="65053EC7">
            <w:pPr>
              <w:spacing w:before="0" w:beforeLines="0" w:after="0" w:afterLines="0" w:line="330" w:lineRule="exact"/>
              <w:jc w:val="center"/>
              <w:rPr>
                <w:rFonts w:hint="eastAsia" w:ascii="黑体" w:hAnsi="黑体" w:eastAsia="黑体" w:cs="黑体"/>
                <w:bCs/>
                <w:sz w:val="24"/>
                <w:szCs w:val="24"/>
              </w:rPr>
            </w:pPr>
            <w:r>
              <w:rPr>
                <w:rFonts w:hint="eastAsia" w:ascii="黑体" w:hAnsi="黑体" w:eastAsia="黑体" w:cs="黑体"/>
                <w:bCs/>
                <w:sz w:val="24"/>
                <w:szCs w:val="24"/>
              </w:rPr>
              <w:t>牵头科室</w:t>
            </w:r>
          </w:p>
        </w:tc>
      </w:tr>
      <w:tr w14:paraId="3409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5B113D63">
            <w:pPr>
              <w:spacing w:before="0" w:beforeLines="0" w:after="0" w:afterLines="0" w:line="330" w:lineRule="exact"/>
              <w:jc w:val="center"/>
              <w:rPr>
                <w:rFonts w:hAnsi="仿宋_GB2312" w:cs="仿宋_GB2312"/>
                <w:b/>
                <w:sz w:val="24"/>
                <w:szCs w:val="24"/>
              </w:rPr>
            </w:pPr>
            <w:r>
              <w:rPr>
                <w:rFonts w:hint="eastAsia" w:hAnsi="仿宋_GB2312" w:cs="仿宋_GB2312"/>
                <w:bCs/>
                <w:sz w:val="24"/>
                <w:szCs w:val="24"/>
              </w:rPr>
              <w:t>1</w:t>
            </w:r>
          </w:p>
        </w:tc>
        <w:tc>
          <w:tcPr>
            <w:tcW w:w="1680" w:type="dxa"/>
            <w:vAlign w:val="center"/>
          </w:tcPr>
          <w:p w14:paraId="3D840CAF">
            <w:pPr>
              <w:spacing w:before="0" w:beforeLines="0" w:after="0" w:afterLines="0" w:line="330" w:lineRule="exact"/>
              <w:jc w:val="center"/>
              <w:rPr>
                <w:rFonts w:hAnsi="仿宋_GB2312" w:cs="仿宋_GB2312"/>
                <w:bCs/>
                <w:sz w:val="24"/>
                <w:szCs w:val="24"/>
              </w:rPr>
            </w:pPr>
            <w:r>
              <w:rPr>
                <w:rFonts w:hint="eastAsia" w:hAnsi="仿宋_GB2312" w:cs="仿宋_GB2312"/>
                <w:bCs/>
                <w:sz w:val="24"/>
                <w:szCs w:val="24"/>
              </w:rPr>
              <w:t>医疗服务能力提升计划</w:t>
            </w:r>
          </w:p>
        </w:tc>
        <w:tc>
          <w:tcPr>
            <w:tcW w:w="5130" w:type="dxa"/>
            <w:vAlign w:val="center"/>
          </w:tcPr>
          <w:p w14:paraId="73156395">
            <w:pPr>
              <w:spacing w:before="0" w:beforeLines="0" w:after="0" w:afterLines="0" w:line="330" w:lineRule="exact"/>
              <w:jc w:val="left"/>
              <w:rPr>
                <w:rFonts w:hAnsi="仿宋_GB2312" w:cs="仿宋_GB2312"/>
                <w:bCs/>
                <w:sz w:val="24"/>
                <w:szCs w:val="24"/>
              </w:rPr>
            </w:pPr>
            <w:r>
              <w:rPr>
                <w:rFonts w:hint="eastAsia" w:hAnsi="仿宋_GB2312" w:cs="仿宋_GB2312"/>
                <w:bCs/>
                <w:sz w:val="24"/>
                <w:szCs w:val="24"/>
              </w:rPr>
              <w:t>推进区人民医院和中山大学共建工作，创建三级甲等医院；推进区中医院和广州中医药大学共建工作，创建三级甲等中医院；推进区第二人民医院升级改造工程，创建二级甲等医院；推进梅林老人康复护理院项目建设；推进区慢性病防治医院升级改造工程。</w:t>
            </w:r>
          </w:p>
        </w:tc>
        <w:tc>
          <w:tcPr>
            <w:tcW w:w="1472" w:type="dxa"/>
            <w:vAlign w:val="center"/>
          </w:tcPr>
          <w:p w14:paraId="707073A2">
            <w:pPr>
              <w:spacing w:before="0" w:beforeLines="0" w:after="0" w:afterLines="0" w:line="330" w:lineRule="exact"/>
              <w:jc w:val="center"/>
              <w:rPr>
                <w:rFonts w:hAnsi="仿宋_GB2312" w:cs="仿宋_GB2312"/>
                <w:bCs/>
                <w:sz w:val="24"/>
                <w:szCs w:val="24"/>
              </w:rPr>
            </w:pPr>
            <w:r>
              <w:rPr>
                <w:rFonts w:hint="eastAsia" w:hAnsi="仿宋_GB2312" w:cs="仿宋_GB2312"/>
                <w:bCs/>
                <w:sz w:val="24"/>
                <w:szCs w:val="24"/>
              </w:rPr>
              <w:t>医政科</w:t>
            </w:r>
          </w:p>
          <w:p w14:paraId="383B0C22">
            <w:pPr>
              <w:spacing w:before="0" w:beforeLines="0" w:after="0" w:afterLines="0" w:line="330" w:lineRule="exact"/>
              <w:jc w:val="center"/>
              <w:rPr>
                <w:rFonts w:hAnsi="仿宋_GB2312" w:cs="仿宋_GB2312"/>
                <w:bCs/>
                <w:sz w:val="24"/>
                <w:szCs w:val="24"/>
              </w:rPr>
            </w:pPr>
            <w:r>
              <w:rPr>
                <w:rFonts w:hint="eastAsia" w:hAnsi="仿宋_GB2312" w:cs="仿宋_GB2312"/>
                <w:bCs/>
                <w:sz w:val="24"/>
                <w:szCs w:val="24"/>
              </w:rPr>
              <w:t>重大办</w:t>
            </w:r>
          </w:p>
        </w:tc>
      </w:tr>
      <w:tr w14:paraId="0482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788090C2">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2</w:t>
            </w:r>
          </w:p>
        </w:tc>
        <w:tc>
          <w:tcPr>
            <w:tcW w:w="1680" w:type="dxa"/>
            <w:vAlign w:val="center"/>
          </w:tcPr>
          <w:p w14:paraId="385CEDDA">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妇女儿童医院新建项目</w:t>
            </w:r>
          </w:p>
        </w:tc>
        <w:tc>
          <w:tcPr>
            <w:tcW w:w="5130" w:type="dxa"/>
          </w:tcPr>
          <w:p w14:paraId="4A843164">
            <w:pPr>
              <w:spacing w:before="0" w:beforeLines="0" w:after="0" w:afterLines="0" w:line="330" w:lineRule="exact"/>
              <w:rPr>
                <w:rFonts w:hAnsi="仿宋_GB2312" w:cs="仿宋_GB2312"/>
                <w:sz w:val="24"/>
                <w:szCs w:val="24"/>
              </w:rPr>
            </w:pPr>
            <w:r>
              <w:rPr>
                <w:rFonts w:hint="eastAsia" w:hAnsi="仿宋_GB2312" w:cs="仿宋_GB2312"/>
                <w:sz w:val="24"/>
                <w:szCs w:val="24"/>
              </w:rPr>
              <w:t>选址安托山新建妇女儿童医院，承担辖区妇女、儿童常见病、多发病的诊疗工作，打造福田区妇女儿童中心、妇幼监导中心、产前诊断中心、乳腺癌诊疗中心、新生儿急危重症抢救中心等。</w:t>
            </w:r>
          </w:p>
        </w:tc>
        <w:tc>
          <w:tcPr>
            <w:tcW w:w="1472" w:type="dxa"/>
            <w:vAlign w:val="center"/>
          </w:tcPr>
          <w:p w14:paraId="2C9DF860">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重大办</w:t>
            </w:r>
          </w:p>
          <w:p w14:paraId="0263C872">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医政科</w:t>
            </w:r>
          </w:p>
        </w:tc>
      </w:tr>
      <w:tr w14:paraId="650A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1C411855">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3</w:t>
            </w:r>
          </w:p>
        </w:tc>
        <w:tc>
          <w:tcPr>
            <w:tcW w:w="1680" w:type="dxa"/>
            <w:vAlign w:val="center"/>
          </w:tcPr>
          <w:p w14:paraId="5D855362">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区域健康信息平台建设</w:t>
            </w:r>
          </w:p>
        </w:tc>
        <w:tc>
          <w:tcPr>
            <w:tcW w:w="5130" w:type="dxa"/>
          </w:tcPr>
          <w:p w14:paraId="7FA95121">
            <w:pPr>
              <w:spacing w:before="0" w:beforeLines="0" w:after="0" w:afterLines="0" w:line="330" w:lineRule="exact"/>
              <w:rPr>
                <w:rFonts w:hAnsi="仿宋_GB2312" w:cs="仿宋_GB2312"/>
                <w:sz w:val="24"/>
                <w:szCs w:val="24"/>
              </w:rPr>
            </w:pPr>
            <w:r>
              <w:rPr>
                <w:rFonts w:hint="eastAsia" w:hAnsi="仿宋_GB2312" w:cs="仿宋_GB2312"/>
                <w:sz w:val="24"/>
                <w:szCs w:val="24"/>
              </w:rPr>
              <w:t>构建完善的区域人口健康信息平台，建立动态更新的标准化电子健康档案和电子病历数据库，完善技术标准和安全防护体系，逐步实现居民基本健康信息和公共卫生、医疗服务、医疗保障、药品管理、综合管理等应用系统业务协同。</w:t>
            </w:r>
          </w:p>
        </w:tc>
        <w:tc>
          <w:tcPr>
            <w:tcW w:w="1472" w:type="dxa"/>
            <w:vAlign w:val="center"/>
          </w:tcPr>
          <w:p w14:paraId="1661AC25">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重大办</w:t>
            </w:r>
          </w:p>
        </w:tc>
      </w:tr>
      <w:tr w14:paraId="0E76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27D2C23E">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4</w:t>
            </w:r>
          </w:p>
        </w:tc>
        <w:tc>
          <w:tcPr>
            <w:tcW w:w="1680" w:type="dxa"/>
            <w:vAlign w:val="center"/>
          </w:tcPr>
          <w:p w14:paraId="367FE7D3">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区级医疗机构区属医院数字化医院建设</w:t>
            </w:r>
          </w:p>
        </w:tc>
        <w:tc>
          <w:tcPr>
            <w:tcW w:w="5130" w:type="dxa"/>
          </w:tcPr>
          <w:p w14:paraId="463C5F8D">
            <w:pPr>
              <w:spacing w:before="0" w:beforeLines="0" w:after="0" w:afterLines="0" w:line="330" w:lineRule="exact"/>
              <w:rPr>
                <w:rFonts w:hAnsi="仿宋_GB2312" w:cs="仿宋_GB2312"/>
                <w:sz w:val="24"/>
                <w:szCs w:val="24"/>
              </w:rPr>
            </w:pPr>
            <w:r>
              <w:rPr>
                <w:rFonts w:hint="eastAsia" w:hAnsi="仿宋_GB2312" w:cs="仿宋_GB2312"/>
                <w:sz w:val="24"/>
                <w:szCs w:val="24"/>
              </w:rPr>
              <w:t>全面实施健康医疗信息惠民行动计划，方便居民预约诊疗、分时段就诊、共享检验检查结果、诊间付费以及医保费用的即时结算, 2020年底，区人民医院、中医院电子病历系统达到5级水平，其他公立医疗机构电子病历达到4级水平。</w:t>
            </w:r>
          </w:p>
        </w:tc>
        <w:tc>
          <w:tcPr>
            <w:tcW w:w="1472" w:type="dxa"/>
            <w:vAlign w:val="center"/>
          </w:tcPr>
          <w:p w14:paraId="11D7D661">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重大办</w:t>
            </w:r>
          </w:p>
          <w:p w14:paraId="212327F8">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医政科</w:t>
            </w:r>
          </w:p>
        </w:tc>
      </w:tr>
      <w:tr w14:paraId="330A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42C03BE3">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5</w:t>
            </w:r>
          </w:p>
        </w:tc>
        <w:tc>
          <w:tcPr>
            <w:tcW w:w="1680" w:type="dxa"/>
            <w:vAlign w:val="center"/>
          </w:tcPr>
          <w:p w14:paraId="71E8E90C">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卫生人才队伍建设千百工程</w:t>
            </w:r>
          </w:p>
        </w:tc>
        <w:tc>
          <w:tcPr>
            <w:tcW w:w="5130" w:type="dxa"/>
          </w:tcPr>
          <w:p w14:paraId="51FEF530">
            <w:pPr>
              <w:spacing w:before="0" w:beforeLines="0" w:after="0" w:afterLines="0" w:line="330" w:lineRule="exact"/>
              <w:rPr>
                <w:rFonts w:hAnsi="仿宋_GB2312" w:cs="仿宋_GB2312"/>
                <w:sz w:val="24"/>
                <w:szCs w:val="24"/>
              </w:rPr>
            </w:pPr>
            <w:r>
              <w:rPr>
                <w:rFonts w:hint="eastAsia" w:hAnsi="仿宋_GB2312" w:cs="仿宋_GB2312"/>
                <w:sz w:val="24"/>
                <w:szCs w:val="24"/>
              </w:rPr>
              <w:t>拓展卫生人才队伍，与卫生基础设施建设配套，引进千名医疗骨干人才，提升医疗服务能力；加强人才梯队建设和学科建设，实施“百名卫生优才”行动计划。设立“卫生优才”专项培养经费预算，与国内外知名院所签订人才进修培养协议，在全系统分层次、择优选送优秀人才学习培训。“十三五”力争培养10名市级以上重点学科带头人、20名市级以上特色专科带头人、30名优势特色学科主任、40名具备较大发展潜力的业务骨干。</w:t>
            </w:r>
          </w:p>
        </w:tc>
        <w:tc>
          <w:tcPr>
            <w:tcW w:w="1472" w:type="dxa"/>
            <w:vAlign w:val="center"/>
          </w:tcPr>
          <w:p w14:paraId="40D9D94C">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人事科</w:t>
            </w:r>
          </w:p>
          <w:p w14:paraId="76CC6E91">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医政科</w:t>
            </w:r>
          </w:p>
        </w:tc>
      </w:tr>
      <w:tr w14:paraId="6082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3F8D8CEA">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6</w:t>
            </w:r>
          </w:p>
        </w:tc>
        <w:tc>
          <w:tcPr>
            <w:tcW w:w="1680" w:type="dxa"/>
            <w:vAlign w:val="center"/>
          </w:tcPr>
          <w:p w14:paraId="7FCA25FD">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国家、省妇幼健康优质服务示范工程创建</w:t>
            </w:r>
          </w:p>
        </w:tc>
        <w:tc>
          <w:tcPr>
            <w:tcW w:w="5130" w:type="dxa"/>
          </w:tcPr>
          <w:p w14:paraId="4E11450A">
            <w:pPr>
              <w:spacing w:before="0" w:beforeLines="0" w:after="0" w:afterLines="0" w:line="330" w:lineRule="exact"/>
              <w:rPr>
                <w:rFonts w:hAnsi="仿宋_GB2312" w:cs="仿宋_GB2312"/>
                <w:sz w:val="24"/>
                <w:szCs w:val="24"/>
              </w:rPr>
            </w:pPr>
            <w:r>
              <w:rPr>
                <w:rFonts w:hint="eastAsia" w:hAnsi="仿宋_GB2312" w:cs="仿宋_GB2312"/>
                <w:sz w:val="24"/>
                <w:szCs w:val="24"/>
              </w:rPr>
              <w:t>从2015 年起，在全区开展妇幼健康优质服务示范工程创建工作。在“十三五”期间，成功创建国家、省妇幼健康优质服务示范区。</w:t>
            </w:r>
          </w:p>
        </w:tc>
        <w:tc>
          <w:tcPr>
            <w:tcW w:w="1472" w:type="dxa"/>
            <w:vAlign w:val="center"/>
          </w:tcPr>
          <w:p w14:paraId="1ACD9412">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公卫科</w:t>
            </w:r>
          </w:p>
          <w:p w14:paraId="6BDB6B1E">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妇保院</w:t>
            </w:r>
          </w:p>
        </w:tc>
      </w:tr>
      <w:tr w14:paraId="2BFB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4DF100FF">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7</w:t>
            </w:r>
          </w:p>
        </w:tc>
        <w:tc>
          <w:tcPr>
            <w:tcW w:w="1680" w:type="dxa"/>
            <w:vAlign w:val="center"/>
          </w:tcPr>
          <w:p w14:paraId="2C00434E">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“阳光心理、幸福福田”健康服务项目</w:t>
            </w:r>
          </w:p>
        </w:tc>
        <w:tc>
          <w:tcPr>
            <w:tcW w:w="5130" w:type="dxa"/>
          </w:tcPr>
          <w:p w14:paraId="3521CB87">
            <w:pPr>
              <w:spacing w:before="0" w:beforeLines="0" w:after="0" w:afterLines="0" w:line="330" w:lineRule="exact"/>
              <w:rPr>
                <w:rFonts w:hAnsi="仿宋_GB2312" w:cs="仿宋_GB2312"/>
                <w:sz w:val="24"/>
                <w:szCs w:val="24"/>
              </w:rPr>
            </w:pPr>
            <w:r>
              <w:rPr>
                <w:rFonts w:hint="eastAsia" w:hAnsi="仿宋_GB2312" w:cs="仿宋_GB2312"/>
                <w:sz w:val="24"/>
                <w:szCs w:val="24"/>
              </w:rPr>
              <w:t>通过搭建心理健康管理信息化平台、开展心理健康测评和心理咨询服务、举办心理健康系列讲座、开展心理危机干预等措施，完善福田区心理卫生工作架构及工作机制，提高心理卫生服务能力。</w:t>
            </w:r>
          </w:p>
        </w:tc>
        <w:tc>
          <w:tcPr>
            <w:tcW w:w="1472" w:type="dxa"/>
            <w:vAlign w:val="center"/>
          </w:tcPr>
          <w:p w14:paraId="59E53031">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公卫科</w:t>
            </w:r>
          </w:p>
          <w:p w14:paraId="2B719FE4">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慢病院</w:t>
            </w:r>
          </w:p>
        </w:tc>
      </w:tr>
      <w:tr w14:paraId="4420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7CF4A3B0">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8</w:t>
            </w:r>
          </w:p>
        </w:tc>
        <w:tc>
          <w:tcPr>
            <w:tcW w:w="1680" w:type="dxa"/>
            <w:vAlign w:val="center"/>
          </w:tcPr>
          <w:p w14:paraId="1DF25A4B">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社康中心提升项目</w:t>
            </w:r>
          </w:p>
        </w:tc>
        <w:tc>
          <w:tcPr>
            <w:tcW w:w="5130" w:type="dxa"/>
          </w:tcPr>
          <w:p w14:paraId="4F495E68">
            <w:pPr>
              <w:spacing w:before="0" w:beforeLines="0" w:after="0" w:afterLines="0" w:line="330" w:lineRule="exact"/>
              <w:rPr>
                <w:rFonts w:hAnsi="仿宋_GB2312" w:cs="仿宋_GB2312"/>
                <w:sz w:val="24"/>
                <w:szCs w:val="24"/>
              </w:rPr>
            </w:pPr>
            <w:r>
              <w:rPr>
                <w:rFonts w:hint="eastAsia" w:hAnsi="仿宋_GB2312" w:cs="仿宋_GB2312"/>
                <w:sz w:val="24"/>
                <w:szCs w:val="24"/>
              </w:rPr>
              <w:t>制定区域性社康中心和社康站建设标准。在现67家社康中心的基础上，加大人、财、设备、业务用房优先配置与投入，升级建设10-16家区域性社康中心。</w:t>
            </w:r>
          </w:p>
        </w:tc>
        <w:tc>
          <w:tcPr>
            <w:tcW w:w="1472" w:type="dxa"/>
            <w:vAlign w:val="center"/>
          </w:tcPr>
          <w:p w14:paraId="56271E87">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社宣科</w:t>
            </w:r>
          </w:p>
          <w:p w14:paraId="34630DFD">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社管中心</w:t>
            </w:r>
          </w:p>
        </w:tc>
      </w:tr>
      <w:tr w14:paraId="7FF6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58172871">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9</w:t>
            </w:r>
          </w:p>
        </w:tc>
        <w:tc>
          <w:tcPr>
            <w:tcW w:w="1680" w:type="dxa"/>
            <w:vAlign w:val="center"/>
          </w:tcPr>
          <w:p w14:paraId="6767D5B1">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失独、残独家庭的帮扶体系建设项目</w:t>
            </w:r>
          </w:p>
        </w:tc>
        <w:tc>
          <w:tcPr>
            <w:tcW w:w="5130" w:type="dxa"/>
          </w:tcPr>
          <w:p w14:paraId="49E2553C">
            <w:pPr>
              <w:spacing w:before="0" w:beforeLines="0" w:after="0" w:afterLines="0" w:line="330" w:lineRule="exact"/>
              <w:rPr>
                <w:rFonts w:hAnsi="仿宋_GB2312" w:cs="仿宋_GB2312"/>
                <w:sz w:val="24"/>
                <w:szCs w:val="24"/>
              </w:rPr>
            </w:pPr>
            <w:r>
              <w:rPr>
                <w:rFonts w:hint="eastAsia" w:hAnsi="仿宋_GB2312" w:cs="仿宋_GB2312"/>
                <w:sz w:val="24"/>
                <w:szCs w:val="24"/>
              </w:rPr>
              <w:t>发挥群团组织联系人民群众的桥梁和纽带作用，争取政府各部门的支持，建立完善失独、残独家庭的帮扶体系。使这些特殊人群在生活保障、养老照料、大病医疗、精神慰藉等方面得到特别照顾。</w:t>
            </w:r>
          </w:p>
        </w:tc>
        <w:tc>
          <w:tcPr>
            <w:tcW w:w="1472" w:type="dxa"/>
            <w:vAlign w:val="center"/>
          </w:tcPr>
          <w:p w14:paraId="3C799F6B">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区计生协会</w:t>
            </w:r>
          </w:p>
        </w:tc>
      </w:tr>
      <w:tr w14:paraId="6E71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46" w:type="dxa"/>
            <w:vAlign w:val="center"/>
          </w:tcPr>
          <w:p w14:paraId="45482B93">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10</w:t>
            </w:r>
          </w:p>
        </w:tc>
        <w:tc>
          <w:tcPr>
            <w:tcW w:w="1680" w:type="dxa"/>
            <w:vAlign w:val="center"/>
          </w:tcPr>
          <w:p w14:paraId="3C6E22ED">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“青春健康进校园、进企业”项目</w:t>
            </w:r>
          </w:p>
        </w:tc>
        <w:tc>
          <w:tcPr>
            <w:tcW w:w="5130" w:type="dxa"/>
          </w:tcPr>
          <w:p w14:paraId="5A1C9442">
            <w:pPr>
              <w:spacing w:before="0" w:beforeLines="0" w:after="0" w:afterLines="0" w:line="330" w:lineRule="exact"/>
              <w:rPr>
                <w:rFonts w:hAnsi="仿宋_GB2312" w:cs="仿宋_GB2312"/>
                <w:sz w:val="24"/>
                <w:szCs w:val="24"/>
              </w:rPr>
            </w:pPr>
            <w:r>
              <w:rPr>
                <w:rFonts w:hint="eastAsia" w:hAnsi="仿宋_GB2312" w:cs="仿宋_GB2312"/>
                <w:sz w:val="24"/>
                <w:szCs w:val="24"/>
              </w:rPr>
              <w:t>建立一支稳定、专业的师资队伍，在青少年集中的企业、学校开展性与生殖健康知识宣传、培训。促进青少年健康成长、促进家庭幸福和谐。</w:t>
            </w:r>
          </w:p>
        </w:tc>
        <w:tc>
          <w:tcPr>
            <w:tcW w:w="1472" w:type="dxa"/>
            <w:vAlign w:val="center"/>
          </w:tcPr>
          <w:p w14:paraId="76F1E991">
            <w:pPr>
              <w:spacing w:before="0" w:beforeLines="0" w:after="0" w:afterLines="0" w:line="330" w:lineRule="exact"/>
              <w:jc w:val="center"/>
              <w:rPr>
                <w:rFonts w:hAnsi="仿宋_GB2312" w:cs="仿宋_GB2312"/>
                <w:sz w:val="24"/>
                <w:szCs w:val="24"/>
              </w:rPr>
            </w:pPr>
            <w:r>
              <w:rPr>
                <w:rFonts w:hint="eastAsia" w:hAnsi="仿宋_GB2312" w:cs="仿宋_GB2312"/>
                <w:sz w:val="24"/>
                <w:szCs w:val="24"/>
              </w:rPr>
              <w:t>区计生协会</w:t>
            </w:r>
          </w:p>
        </w:tc>
      </w:tr>
    </w:tbl>
    <w:p w14:paraId="3AC18B27">
      <w:pPr>
        <w:spacing w:before="163" w:after="163"/>
        <w:rPr>
          <w:rFonts w:ascii="黑体" w:hAnsi="黑体" w:eastAsia="黑体"/>
          <w:sz w:val="32"/>
          <w:szCs w:val="32"/>
        </w:rPr>
        <w:sectPr>
          <w:footerReference r:id="rId11" w:type="default"/>
          <w:footerReference r:id="rId12" w:type="even"/>
          <w:pgSz w:w="11906" w:h="16838"/>
          <w:pgMar w:top="2268" w:right="1588" w:bottom="1985" w:left="1474" w:header="851" w:footer="851" w:gutter="0"/>
          <w:pgNumType w:fmt="numberInDash" w:start="1"/>
          <w:cols w:space="0" w:num="1"/>
          <w:docGrid w:type="linesAndChars" w:linePitch="327" w:charSpace="0"/>
        </w:sectPr>
      </w:pPr>
      <w:bookmarkStart w:id="39" w:name="_Toc424340864"/>
      <w:bookmarkStart w:id="40" w:name="_Toc443406049"/>
    </w:p>
    <w:p w14:paraId="6DAE623E">
      <w:pPr>
        <w:spacing w:before="163" w:after="163"/>
        <w:rPr>
          <w:sz w:val="30"/>
        </w:rPr>
      </w:pPr>
      <w:r>
        <w:rPr>
          <w:rFonts w:hint="eastAsia" w:ascii="黑体" w:hAnsi="黑体" w:eastAsia="黑体"/>
          <w:sz w:val="32"/>
          <w:szCs w:val="32"/>
        </w:rPr>
        <w:t>附件3</w:t>
      </w:r>
      <w:bookmarkEnd w:id="39"/>
      <w:bookmarkStart w:id="41" w:name="_Toc424340865"/>
      <w:r>
        <w:rPr>
          <w:rFonts w:hint="eastAsia" w:ascii="黑体" w:hAnsi="黑体" w:eastAsia="黑体"/>
          <w:sz w:val="32"/>
          <w:szCs w:val="32"/>
        </w:rPr>
        <w:t xml:space="preserve">  </w:t>
      </w:r>
      <w:r>
        <w:rPr>
          <w:rFonts w:hint="eastAsia"/>
          <w:sz w:val="30"/>
        </w:rPr>
        <w:t xml:space="preserve">        </w:t>
      </w:r>
    </w:p>
    <w:p w14:paraId="367CB96A">
      <w:pPr>
        <w:spacing w:before="163" w:after="163"/>
        <w:jc w:val="center"/>
        <w:rPr>
          <w:sz w:val="30"/>
        </w:rPr>
      </w:pPr>
      <w:r>
        <w:rPr>
          <w:rFonts w:hint="eastAsia" w:ascii="方正小标宋_GBK" w:eastAsia="方正小标宋_GBK"/>
          <w:sz w:val="36"/>
          <w:szCs w:val="36"/>
        </w:rPr>
        <w:t>福田区卫生和计划生育事业“十三五”规划</w:t>
      </w:r>
      <w:bookmarkEnd w:id="40"/>
      <w:bookmarkEnd w:id="41"/>
      <w:r>
        <w:rPr>
          <w:rFonts w:hint="eastAsia" w:ascii="方正小标宋_GBK" w:eastAsia="方正小标宋_GBK"/>
          <w:sz w:val="36"/>
          <w:szCs w:val="36"/>
        </w:rPr>
        <w:t>指标体系</w:t>
      </w:r>
    </w:p>
    <w:tbl>
      <w:tblPr>
        <w:tblStyle w:val="10"/>
        <w:tblW w:w="13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09"/>
        <w:gridCol w:w="4693"/>
        <w:gridCol w:w="1701"/>
        <w:gridCol w:w="1560"/>
        <w:gridCol w:w="1559"/>
        <w:gridCol w:w="1559"/>
        <w:gridCol w:w="1317"/>
      </w:tblGrid>
      <w:tr w14:paraId="7712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blHeader/>
          <w:jc w:val="center"/>
        </w:trPr>
        <w:tc>
          <w:tcPr>
            <w:tcW w:w="708" w:type="dxa"/>
            <w:vAlign w:val="center"/>
          </w:tcPr>
          <w:p w14:paraId="75A98B6C">
            <w:pPr>
              <w:spacing w:before="0" w:beforeLines="0" w:after="0" w:afterLines="0" w:line="400" w:lineRule="exact"/>
              <w:jc w:val="center"/>
              <w:rPr>
                <w:rFonts w:hAnsi="仿宋_GB2312" w:cs="仿宋_GB2312"/>
                <w:b/>
                <w:szCs w:val="24"/>
              </w:rPr>
            </w:pPr>
            <w:r>
              <w:rPr>
                <w:rFonts w:hint="eastAsia" w:hAnsi="仿宋_GB2312" w:cs="仿宋_GB2312"/>
                <w:b/>
                <w:szCs w:val="24"/>
              </w:rPr>
              <w:t>类别</w:t>
            </w:r>
          </w:p>
        </w:tc>
        <w:tc>
          <w:tcPr>
            <w:tcW w:w="709" w:type="dxa"/>
            <w:vAlign w:val="center"/>
          </w:tcPr>
          <w:p w14:paraId="224C1609">
            <w:pPr>
              <w:spacing w:before="0" w:beforeLines="0" w:after="0" w:afterLines="0" w:line="400" w:lineRule="exact"/>
              <w:jc w:val="center"/>
              <w:rPr>
                <w:rFonts w:hAnsi="仿宋_GB2312" w:cs="仿宋_GB2312"/>
                <w:b/>
                <w:szCs w:val="24"/>
              </w:rPr>
            </w:pPr>
            <w:r>
              <w:rPr>
                <w:rFonts w:hint="eastAsia" w:hAnsi="仿宋_GB2312" w:cs="仿宋_GB2312"/>
                <w:b/>
                <w:szCs w:val="24"/>
              </w:rPr>
              <w:t>序号</w:t>
            </w:r>
          </w:p>
        </w:tc>
        <w:tc>
          <w:tcPr>
            <w:tcW w:w="4693" w:type="dxa"/>
            <w:vAlign w:val="center"/>
          </w:tcPr>
          <w:p w14:paraId="15C9A7CD">
            <w:pPr>
              <w:spacing w:before="0" w:beforeLines="0" w:after="0" w:afterLines="0" w:line="400" w:lineRule="exact"/>
              <w:jc w:val="center"/>
              <w:rPr>
                <w:rFonts w:hAnsi="仿宋_GB2312" w:cs="仿宋_GB2312"/>
                <w:b/>
                <w:szCs w:val="24"/>
              </w:rPr>
            </w:pPr>
            <w:r>
              <w:rPr>
                <w:rFonts w:hint="eastAsia" w:hAnsi="仿宋_GB2312" w:cs="仿宋_GB2312"/>
                <w:b/>
                <w:szCs w:val="24"/>
              </w:rPr>
              <w:t>指标名称</w:t>
            </w:r>
          </w:p>
        </w:tc>
        <w:tc>
          <w:tcPr>
            <w:tcW w:w="1701" w:type="dxa"/>
            <w:vAlign w:val="center"/>
          </w:tcPr>
          <w:p w14:paraId="2068AB1F">
            <w:pPr>
              <w:spacing w:before="0" w:beforeLines="0" w:after="0" w:afterLines="0" w:line="400" w:lineRule="exact"/>
              <w:jc w:val="center"/>
              <w:rPr>
                <w:rFonts w:hAnsi="仿宋_GB2312" w:cs="仿宋_GB2312"/>
                <w:b/>
                <w:szCs w:val="24"/>
              </w:rPr>
            </w:pPr>
            <w:r>
              <w:rPr>
                <w:rFonts w:hint="eastAsia" w:hAnsi="仿宋_GB2312" w:cs="仿宋_GB2312"/>
                <w:b/>
                <w:szCs w:val="24"/>
              </w:rPr>
              <w:t>统计口径</w:t>
            </w:r>
          </w:p>
        </w:tc>
        <w:tc>
          <w:tcPr>
            <w:tcW w:w="1560" w:type="dxa"/>
            <w:vAlign w:val="center"/>
          </w:tcPr>
          <w:p w14:paraId="486DAF69">
            <w:pPr>
              <w:spacing w:before="0" w:beforeLines="0" w:after="0" w:afterLines="0" w:line="400" w:lineRule="exact"/>
              <w:jc w:val="center"/>
              <w:rPr>
                <w:rFonts w:hAnsi="仿宋_GB2312" w:cs="仿宋_GB2312"/>
                <w:b/>
                <w:szCs w:val="24"/>
              </w:rPr>
            </w:pPr>
            <w:r>
              <w:rPr>
                <w:rFonts w:hint="eastAsia" w:hAnsi="仿宋_GB2312" w:cs="仿宋_GB2312"/>
                <w:b/>
                <w:szCs w:val="24"/>
              </w:rPr>
              <w:t>福田区2015年完成值</w:t>
            </w:r>
          </w:p>
        </w:tc>
        <w:tc>
          <w:tcPr>
            <w:tcW w:w="1559" w:type="dxa"/>
            <w:vAlign w:val="center"/>
          </w:tcPr>
          <w:p w14:paraId="595F6C16">
            <w:pPr>
              <w:spacing w:before="0" w:beforeLines="0" w:after="0" w:afterLines="0" w:line="400" w:lineRule="exact"/>
              <w:jc w:val="center"/>
              <w:rPr>
                <w:rFonts w:hAnsi="仿宋_GB2312" w:cs="仿宋_GB2312"/>
                <w:b/>
                <w:szCs w:val="24"/>
              </w:rPr>
            </w:pPr>
            <w:r>
              <w:rPr>
                <w:rFonts w:hint="eastAsia" w:hAnsi="仿宋_GB2312" w:cs="仿宋_GB2312"/>
                <w:b/>
                <w:szCs w:val="24"/>
              </w:rPr>
              <w:t>深圳市2015年完成值</w:t>
            </w:r>
          </w:p>
        </w:tc>
        <w:tc>
          <w:tcPr>
            <w:tcW w:w="1559" w:type="dxa"/>
            <w:vAlign w:val="center"/>
          </w:tcPr>
          <w:p w14:paraId="6DC758A4">
            <w:pPr>
              <w:spacing w:before="0" w:beforeLines="0" w:after="0" w:afterLines="0" w:line="400" w:lineRule="exact"/>
              <w:jc w:val="center"/>
              <w:rPr>
                <w:rFonts w:hAnsi="仿宋_GB2312" w:cs="仿宋_GB2312"/>
                <w:b/>
                <w:szCs w:val="24"/>
              </w:rPr>
            </w:pPr>
            <w:r>
              <w:rPr>
                <w:rFonts w:hint="eastAsia" w:hAnsi="仿宋_GB2312" w:cs="仿宋_GB2312"/>
                <w:b/>
                <w:szCs w:val="24"/>
              </w:rPr>
              <w:t>2020目标值</w:t>
            </w:r>
          </w:p>
        </w:tc>
        <w:tc>
          <w:tcPr>
            <w:tcW w:w="1317" w:type="dxa"/>
            <w:vAlign w:val="center"/>
          </w:tcPr>
          <w:p w14:paraId="17584700">
            <w:pPr>
              <w:spacing w:before="0" w:beforeLines="0" w:after="0" w:afterLines="0" w:line="400" w:lineRule="exact"/>
              <w:jc w:val="center"/>
              <w:rPr>
                <w:rFonts w:hAnsi="仿宋_GB2312" w:cs="仿宋_GB2312"/>
                <w:b/>
                <w:szCs w:val="24"/>
              </w:rPr>
            </w:pPr>
            <w:r>
              <w:rPr>
                <w:rFonts w:hint="eastAsia" w:hAnsi="仿宋_GB2312" w:cs="仿宋_GB2312"/>
                <w:b/>
                <w:szCs w:val="24"/>
              </w:rPr>
              <w:t>指标属性</w:t>
            </w:r>
          </w:p>
        </w:tc>
      </w:tr>
      <w:tr w14:paraId="2A80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8" w:type="dxa"/>
            <w:vMerge w:val="restart"/>
            <w:vAlign w:val="center"/>
          </w:tcPr>
          <w:p w14:paraId="6E632B0A">
            <w:pPr>
              <w:spacing w:before="0" w:beforeLines="0" w:after="0" w:afterLines="0" w:line="400" w:lineRule="exact"/>
              <w:jc w:val="center"/>
              <w:rPr>
                <w:rFonts w:hAnsi="仿宋_GB2312" w:cs="仿宋_GB2312"/>
                <w:b/>
                <w:szCs w:val="24"/>
              </w:rPr>
            </w:pPr>
            <w:r>
              <w:rPr>
                <w:rFonts w:hint="eastAsia" w:hAnsi="仿宋_GB2312" w:cs="仿宋_GB2312"/>
                <w:b/>
                <w:szCs w:val="24"/>
              </w:rPr>
              <w:t>健康</w:t>
            </w:r>
          </w:p>
          <w:p w14:paraId="05A6368A">
            <w:pPr>
              <w:spacing w:before="0" w:beforeLines="0" w:after="0" w:afterLines="0" w:line="400" w:lineRule="exact"/>
              <w:jc w:val="center"/>
              <w:rPr>
                <w:rFonts w:hAnsi="仿宋_GB2312" w:cs="仿宋_GB2312"/>
                <w:b/>
                <w:szCs w:val="24"/>
              </w:rPr>
            </w:pPr>
            <w:r>
              <w:rPr>
                <w:rFonts w:hint="eastAsia" w:hAnsi="仿宋_GB2312" w:cs="仿宋_GB2312"/>
                <w:b/>
                <w:szCs w:val="24"/>
              </w:rPr>
              <w:t>状况</w:t>
            </w:r>
          </w:p>
        </w:tc>
        <w:tc>
          <w:tcPr>
            <w:tcW w:w="709" w:type="dxa"/>
            <w:vAlign w:val="center"/>
          </w:tcPr>
          <w:p w14:paraId="23B3C11B">
            <w:pPr>
              <w:pStyle w:val="12"/>
              <w:spacing w:before="0" w:beforeLines="0" w:after="0" w:afterLines="0" w:line="400" w:lineRule="exact"/>
              <w:ind w:firstLine="0" w:firstLineChars="0"/>
              <w:jc w:val="center"/>
              <w:rPr>
                <w:rFonts w:hAnsi="仿宋_GB2312" w:cs="仿宋_GB2312"/>
                <w:szCs w:val="24"/>
              </w:rPr>
            </w:pPr>
            <w:r>
              <w:rPr>
                <w:rFonts w:hint="eastAsia" w:hAnsi="仿宋_GB2312" w:cs="仿宋_GB2312"/>
                <w:szCs w:val="24"/>
              </w:rPr>
              <w:t>1</w:t>
            </w:r>
          </w:p>
        </w:tc>
        <w:tc>
          <w:tcPr>
            <w:tcW w:w="4693" w:type="dxa"/>
            <w:vAlign w:val="center"/>
          </w:tcPr>
          <w:p w14:paraId="436B797A">
            <w:pPr>
              <w:spacing w:before="0" w:beforeLines="0" w:after="0" w:afterLines="0" w:line="400" w:lineRule="exact"/>
              <w:rPr>
                <w:rFonts w:hAnsi="仿宋_GB2312" w:cs="仿宋_GB2312"/>
                <w:szCs w:val="24"/>
              </w:rPr>
            </w:pPr>
            <w:r>
              <w:rPr>
                <w:rFonts w:hint="eastAsia" w:hAnsi="仿宋_GB2312" w:cs="仿宋_GB2312"/>
                <w:szCs w:val="24"/>
              </w:rPr>
              <w:t>平均期望寿命（年）</w:t>
            </w:r>
          </w:p>
        </w:tc>
        <w:tc>
          <w:tcPr>
            <w:tcW w:w="1701" w:type="dxa"/>
            <w:vAlign w:val="center"/>
          </w:tcPr>
          <w:p w14:paraId="1FC2A73C">
            <w:pPr>
              <w:spacing w:before="0" w:beforeLines="0" w:after="0" w:afterLines="0" w:line="400" w:lineRule="exact"/>
              <w:jc w:val="center"/>
              <w:rPr>
                <w:rFonts w:hAnsi="仿宋_GB2312" w:cs="仿宋_GB2312"/>
                <w:szCs w:val="24"/>
              </w:rPr>
            </w:pPr>
            <w:r>
              <w:rPr>
                <w:rFonts w:hint="eastAsia" w:hAnsi="仿宋_GB2312" w:cs="仿宋_GB2312"/>
                <w:szCs w:val="24"/>
              </w:rPr>
              <w:t>常住人口</w:t>
            </w:r>
          </w:p>
        </w:tc>
        <w:tc>
          <w:tcPr>
            <w:tcW w:w="1560" w:type="dxa"/>
            <w:vAlign w:val="center"/>
          </w:tcPr>
          <w:p w14:paraId="07C5B342">
            <w:pPr>
              <w:spacing w:before="0" w:beforeLines="0" w:after="0" w:afterLines="0" w:line="400" w:lineRule="exact"/>
              <w:jc w:val="center"/>
              <w:rPr>
                <w:rFonts w:hAnsi="仿宋_GB2312" w:cs="仿宋_GB2312"/>
                <w:szCs w:val="24"/>
              </w:rPr>
            </w:pPr>
            <w:r>
              <w:rPr>
                <w:rFonts w:hint="eastAsia" w:hAnsi="仿宋_GB2312" w:cs="仿宋_GB2312"/>
                <w:szCs w:val="24"/>
              </w:rPr>
              <w:t>79</w:t>
            </w:r>
          </w:p>
        </w:tc>
        <w:tc>
          <w:tcPr>
            <w:tcW w:w="1559" w:type="dxa"/>
            <w:vAlign w:val="center"/>
          </w:tcPr>
          <w:p w14:paraId="44F3B107">
            <w:pPr>
              <w:spacing w:before="0" w:beforeLines="0" w:after="0" w:afterLines="0" w:line="400" w:lineRule="exact"/>
              <w:jc w:val="center"/>
              <w:rPr>
                <w:rFonts w:hAnsi="仿宋_GB2312" w:cs="仿宋_GB2312"/>
                <w:szCs w:val="24"/>
              </w:rPr>
            </w:pPr>
            <w:r>
              <w:rPr>
                <w:rFonts w:hint="eastAsia" w:hAnsi="仿宋_GB2312" w:cs="仿宋_GB2312"/>
                <w:szCs w:val="24"/>
              </w:rPr>
              <w:t>79</w:t>
            </w:r>
          </w:p>
        </w:tc>
        <w:tc>
          <w:tcPr>
            <w:tcW w:w="1559" w:type="dxa"/>
            <w:vAlign w:val="center"/>
          </w:tcPr>
          <w:p w14:paraId="434CB85D">
            <w:pPr>
              <w:spacing w:before="0" w:beforeLines="0" w:after="0" w:afterLines="0" w:line="400" w:lineRule="exact"/>
              <w:jc w:val="center"/>
              <w:rPr>
                <w:rFonts w:hAnsi="仿宋_GB2312" w:cs="仿宋_GB2312"/>
                <w:szCs w:val="24"/>
              </w:rPr>
            </w:pPr>
            <w:r>
              <w:rPr>
                <w:rFonts w:hint="eastAsia" w:hAnsi="仿宋_GB2312" w:cs="仿宋_GB2312"/>
                <w:szCs w:val="24"/>
              </w:rPr>
              <w:t>81</w:t>
            </w:r>
          </w:p>
        </w:tc>
        <w:tc>
          <w:tcPr>
            <w:tcW w:w="1317" w:type="dxa"/>
            <w:vAlign w:val="center"/>
          </w:tcPr>
          <w:p w14:paraId="6B042FC9">
            <w:pPr>
              <w:spacing w:before="0" w:beforeLines="0" w:after="0" w:afterLines="0" w:line="400" w:lineRule="exact"/>
              <w:jc w:val="center"/>
              <w:rPr>
                <w:rFonts w:hAnsi="仿宋_GB2312" w:cs="仿宋_GB2312"/>
                <w:szCs w:val="24"/>
              </w:rPr>
            </w:pPr>
            <w:r>
              <w:rPr>
                <w:rFonts w:hint="eastAsia" w:hAnsi="仿宋_GB2312" w:cs="仿宋_GB2312"/>
                <w:szCs w:val="24"/>
              </w:rPr>
              <w:t>预期性</w:t>
            </w:r>
          </w:p>
        </w:tc>
      </w:tr>
      <w:tr w14:paraId="13CA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8" w:type="dxa"/>
            <w:vMerge w:val="continue"/>
          </w:tcPr>
          <w:p w14:paraId="2ADACE57">
            <w:pPr>
              <w:spacing w:before="0" w:beforeLines="0" w:after="0" w:afterLines="0" w:line="400" w:lineRule="exact"/>
              <w:rPr>
                <w:rFonts w:hAnsi="仿宋_GB2312" w:cs="仿宋_GB2312"/>
                <w:b/>
                <w:szCs w:val="24"/>
              </w:rPr>
            </w:pPr>
          </w:p>
        </w:tc>
        <w:tc>
          <w:tcPr>
            <w:tcW w:w="709" w:type="dxa"/>
            <w:vAlign w:val="center"/>
          </w:tcPr>
          <w:p w14:paraId="2374187A">
            <w:pPr>
              <w:pStyle w:val="12"/>
              <w:spacing w:before="0" w:beforeLines="0" w:after="0" w:afterLines="0" w:line="400" w:lineRule="exact"/>
              <w:ind w:firstLine="0" w:firstLineChars="0"/>
              <w:jc w:val="center"/>
              <w:rPr>
                <w:rFonts w:hAnsi="仿宋_GB2312" w:cs="仿宋_GB2312"/>
                <w:szCs w:val="24"/>
              </w:rPr>
            </w:pPr>
            <w:r>
              <w:rPr>
                <w:rFonts w:hint="eastAsia" w:hAnsi="仿宋_GB2312" w:cs="仿宋_GB2312"/>
                <w:szCs w:val="24"/>
              </w:rPr>
              <w:t>2</w:t>
            </w:r>
          </w:p>
        </w:tc>
        <w:tc>
          <w:tcPr>
            <w:tcW w:w="4693" w:type="dxa"/>
            <w:vAlign w:val="center"/>
          </w:tcPr>
          <w:p w14:paraId="1FE2F72A">
            <w:pPr>
              <w:spacing w:before="0" w:beforeLines="0" w:after="0" w:afterLines="0" w:line="240" w:lineRule="auto"/>
              <w:rPr>
                <w:rFonts w:hAnsi="仿宋_GB2312" w:cs="仿宋_GB2312"/>
                <w:szCs w:val="24"/>
              </w:rPr>
            </w:pPr>
            <w:r>
              <w:rPr>
                <w:rFonts w:hint="eastAsia" w:hAnsi="仿宋_GB2312" w:cs="仿宋_GB2312"/>
                <w:szCs w:val="24"/>
              </w:rPr>
              <w:t>婴儿死亡率（‰）</w:t>
            </w:r>
          </w:p>
        </w:tc>
        <w:tc>
          <w:tcPr>
            <w:tcW w:w="1701" w:type="dxa"/>
            <w:vAlign w:val="center"/>
          </w:tcPr>
          <w:p w14:paraId="4FD78448">
            <w:pPr>
              <w:spacing w:before="0" w:beforeLines="0" w:after="0" w:afterLines="0" w:line="240" w:lineRule="auto"/>
              <w:jc w:val="center"/>
              <w:rPr>
                <w:rFonts w:hAnsi="仿宋_GB2312" w:cs="仿宋_GB2312"/>
                <w:szCs w:val="24"/>
              </w:rPr>
            </w:pPr>
            <w:r>
              <w:rPr>
                <w:rFonts w:hint="eastAsia" w:hAnsi="仿宋_GB2312" w:cs="仿宋_GB2312"/>
                <w:szCs w:val="24"/>
              </w:rPr>
              <w:t>常住人口</w:t>
            </w:r>
          </w:p>
        </w:tc>
        <w:tc>
          <w:tcPr>
            <w:tcW w:w="1560" w:type="dxa"/>
            <w:vAlign w:val="center"/>
          </w:tcPr>
          <w:p w14:paraId="2DC6D748">
            <w:pPr>
              <w:spacing w:before="100" w:beforeLines="0" w:beforeAutospacing="1" w:after="100" w:afterLines="0" w:afterAutospacing="1" w:line="240" w:lineRule="auto"/>
              <w:jc w:val="center"/>
              <w:rPr>
                <w:rFonts w:hAnsi="仿宋_GB2312" w:cs="仿宋_GB2312"/>
                <w:szCs w:val="24"/>
              </w:rPr>
            </w:pPr>
            <w:r>
              <w:rPr>
                <w:rFonts w:hint="eastAsia" w:hAnsi="仿宋_GB2312" w:cs="仿宋_GB2312"/>
                <w:szCs w:val="24"/>
              </w:rPr>
              <w:t>1.50</w:t>
            </w:r>
          </w:p>
        </w:tc>
        <w:tc>
          <w:tcPr>
            <w:tcW w:w="1559" w:type="dxa"/>
            <w:vAlign w:val="center"/>
          </w:tcPr>
          <w:p w14:paraId="4FDBE770">
            <w:pPr>
              <w:spacing w:before="100" w:beforeLines="0" w:beforeAutospacing="1" w:after="100" w:afterLines="0" w:afterAutospacing="1" w:line="240" w:lineRule="auto"/>
              <w:jc w:val="center"/>
              <w:rPr>
                <w:rFonts w:hAnsi="仿宋_GB2312" w:cs="仿宋_GB2312"/>
                <w:szCs w:val="24"/>
              </w:rPr>
            </w:pPr>
            <w:r>
              <w:rPr>
                <w:rFonts w:hint="eastAsia" w:hAnsi="仿宋_GB2312" w:cs="仿宋_GB2312"/>
                <w:szCs w:val="24"/>
              </w:rPr>
              <w:t>2.02</w:t>
            </w:r>
          </w:p>
        </w:tc>
        <w:tc>
          <w:tcPr>
            <w:tcW w:w="1559" w:type="dxa"/>
            <w:vAlign w:val="center"/>
          </w:tcPr>
          <w:p w14:paraId="597763C5">
            <w:pPr>
              <w:spacing w:before="0" w:beforeLines="0" w:after="0" w:afterLines="0" w:line="240" w:lineRule="auto"/>
              <w:jc w:val="center"/>
              <w:rPr>
                <w:rFonts w:hAnsi="仿宋_GB2312" w:cs="仿宋_GB2312"/>
                <w:szCs w:val="24"/>
              </w:rPr>
            </w:pPr>
            <w:r>
              <w:rPr>
                <w:rFonts w:hint="eastAsia" w:hAnsi="仿宋_GB2312" w:cs="仿宋_GB2312"/>
                <w:szCs w:val="24"/>
              </w:rPr>
              <w:t>≤2.75</w:t>
            </w:r>
          </w:p>
        </w:tc>
        <w:tc>
          <w:tcPr>
            <w:tcW w:w="1317" w:type="dxa"/>
            <w:vAlign w:val="center"/>
          </w:tcPr>
          <w:p w14:paraId="4DBA1127">
            <w:pPr>
              <w:spacing w:before="0" w:beforeLines="0" w:after="0" w:afterLines="0" w:line="240" w:lineRule="auto"/>
              <w:jc w:val="center"/>
              <w:rPr>
                <w:rFonts w:hAnsi="仿宋_GB2312" w:cs="仿宋_GB2312"/>
                <w:szCs w:val="24"/>
              </w:rPr>
            </w:pPr>
            <w:r>
              <w:rPr>
                <w:rFonts w:hint="eastAsia" w:hAnsi="仿宋_GB2312" w:cs="仿宋_GB2312"/>
                <w:szCs w:val="24"/>
              </w:rPr>
              <w:t>预期性</w:t>
            </w:r>
          </w:p>
        </w:tc>
      </w:tr>
      <w:tr w14:paraId="7291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8" w:type="dxa"/>
            <w:vMerge w:val="continue"/>
          </w:tcPr>
          <w:p w14:paraId="0D604ED3">
            <w:pPr>
              <w:spacing w:before="0" w:beforeLines="0" w:after="0" w:afterLines="0" w:line="400" w:lineRule="exact"/>
              <w:rPr>
                <w:rFonts w:hAnsi="仿宋_GB2312" w:cs="仿宋_GB2312"/>
                <w:b/>
                <w:szCs w:val="24"/>
              </w:rPr>
            </w:pPr>
          </w:p>
        </w:tc>
        <w:tc>
          <w:tcPr>
            <w:tcW w:w="709" w:type="dxa"/>
            <w:vAlign w:val="center"/>
          </w:tcPr>
          <w:p w14:paraId="17CD7CAA">
            <w:pPr>
              <w:pStyle w:val="12"/>
              <w:spacing w:before="0" w:beforeLines="0" w:after="0" w:afterLines="0" w:line="400" w:lineRule="exact"/>
              <w:ind w:firstLine="0" w:firstLineChars="0"/>
              <w:jc w:val="center"/>
              <w:rPr>
                <w:rFonts w:hAnsi="仿宋_GB2312" w:cs="仿宋_GB2312"/>
                <w:szCs w:val="24"/>
              </w:rPr>
            </w:pPr>
            <w:r>
              <w:rPr>
                <w:rFonts w:hint="eastAsia" w:hAnsi="仿宋_GB2312" w:cs="仿宋_GB2312"/>
                <w:szCs w:val="24"/>
              </w:rPr>
              <w:t>3</w:t>
            </w:r>
          </w:p>
        </w:tc>
        <w:tc>
          <w:tcPr>
            <w:tcW w:w="4693" w:type="dxa"/>
            <w:vAlign w:val="center"/>
          </w:tcPr>
          <w:p w14:paraId="5B765360">
            <w:pPr>
              <w:spacing w:before="0" w:beforeLines="0" w:after="0" w:afterLines="0" w:line="240" w:lineRule="auto"/>
              <w:rPr>
                <w:rFonts w:hAnsi="仿宋_GB2312" w:cs="仿宋_GB2312"/>
                <w:szCs w:val="24"/>
              </w:rPr>
            </w:pPr>
            <w:r>
              <w:rPr>
                <w:rFonts w:hint="eastAsia" w:hAnsi="仿宋_GB2312" w:cs="仿宋_GB2312"/>
                <w:szCs w:val="24"/>
              </w:rPr>
              <w:t>5岁以下儿童死亡率（‰）</w:t>
            </w:r>
          </w:p>
        </w:tc>
        <w:tc>
          <w:tcPr>
            <w:tcW w:w="1701" w:type="dxa"/>
            <w:vAlign w:val="center"/>
          </w:tcPr>
          <w:p w14:paraId="5E28D304">
            <w:pPr>
              <w:spacing w:before="0" w:beforeLines="0" w:after="0" w:afterLines="0" w:line="240" w:lineRule="auto"/>
              <w:jc w:val="center"/>
              <w:rPr>
                <w:rFonts w:hAnsi="仿宋_GB2312" w:cs="仿宋_GB2312"/>
                <w:szCs w:val="24"/>
              </w:rPr>
            </w:pPr>
            <w:r>
              <w:rPr>
                <w:rFonts w:hint="eastAsia" w:hAnsi="仿宋_GB2312" w:cs="仿宋_GB2312"/>
                <w:szCs w:val="24"/>
              </w:rPr>
              <w:t>常住人口</w:t>
            </w:r>
          </w:p>
        </w:tc>
        <w:tc>
          <w:tcPr>
            <w:tcW w:w="1560" w:type="dxa"/>
            <w:vAlign w:val="center"/>
          </w:tcPr>
          <w:p w14:paraId="028D73E8">
            <w:pPr>
              <w:spacing w:before="100" w:beforeLines="0" w:beforeAutospacing="1" w:after="100" w:afterLines="0" w:afterAutospacing="1" w:line="240" w:lineRule="auto"/>
              <w:jc w:val="center"/>
              <w:rPr>
                <w:rFonts w:hAnsi="仿宋_GB2312" w:cs="仿宋_GB2312"/>
                <w:szCs w:val="24"/>
              </w:rPr>
            </w:pPr>
            <w:r>
              <w:rPr>
                <w:rFonts w:hint="eastAsia" w:hAnsi="仿宋_GB2312" w:cs="仿宋_GB2312"/>
                <w:szCs w:val="24"/>
              </w:rPr>
              <w:t>2.15</w:t>
            </w:r>
          </w:p>
        </w:tc>
        <w:tc>
          <w:tcPr>
            <w:tcW w:w="1559" w:type="dxa"/>
            <w:vAlign w:val="center"/>
          </w:tcPr>
          <w:p w14:paraId="6D7AE9D0">
            <w:pPr>
              <w:spacing w:before="100" w:beforeLines="0" w:beforeAutospacing="1" w:after="100" w:afterLines="0" w:afterAutospacing="1" w:line="240" w:lineRule="auto"/>
              <w:jc w:val="center"/>
              <w:rPr>
                <w:rFonts w:hAnsi="仿宋_GB2312" w:cs="仿宋_GB2312"/>
                <w:szCs w:val="24"/>
              </w:rPr>
            </w:pPr>
            <w:r>
              <w:rPr>
                <w:rFonts w:hint="eastAsia" w:hAnsi="仿宋_GB2312" w:cs="仿宋_GB2312"/>
                <w:szCs w:val="24"/>
              </w:rPr>
              <w:t>2.79</w:t>
            </w:r>
          </w:p>
        </w:tc>
        <w:tc>
          <w:tcPr>
            <w:tcW w:w="1559" w:type="dxa"/>
            <w:vAlign w:val="center"/>
          </w:tcPr>
          <w:p w14:paraId="6B1C90F1">
            <w:pPr>
              <w:spacing w:before="0" w:beforeLines="0" w:after="0" w:afterLines="0" w:line="240" w:lineRule="auto"/>
              <w:jc w:val="center"/>
              <w:rPr>
                <w:rFonts w:hAnsi="仿宋_GB2312" w:cs="仿宋_GB2312"/>
                <w:szCs w:val="24"/>
              </w:rPr>
            </w:pPr>
            <w:r>
              <w:rPr>
                <w:rFonts w:hint="eastAsia" w:hAnsi="仿宋_GB2312" w:cs="仿宋_GB2312"/>
                <w:szCs w:val="24"/>
              </w:rPr>
              <w:t>≤5</w:t>
            </w:r>
          </w:p>
        </w:tc>
        <w:tc>
          <w:tcPr>
            <w:tcW w:w="1317" w:type="dxa"/>
            <w:vAlign w:val="center"/>
          </w:tcPr>
          <w:p w14:paraId="68D686D5">
            <w:pPr>
              <w:spacing w:before="0" w:beforeLines="0" w:after="0" w:afterLines="0" w:line="240" w:lineRule="auto"/>
              <w:jc w:val="center"/>
              <w:rPr>
                <w:rFonts w:hAnsi="仿宋_GB2312" w:cs="仿宋_GB2312"/>
                <w:szCs w:val="24"/>
              </w:rPr>
            </w:pPr>
            <w:r>
              <w:rPr>
                <w:rFonts w:hint="eastAsia" w:hAnsi="仿宋_GB2312" w:cs="仿宋_GB2312"/>
                <w:szCs w:val="24"/>
              </w:rPr>
              <w:t>预期性</w:t>
            </w:r>
          </w:p>
        </w:tc>
      </w:tr>
      <w:tr w14:paraId="2B7A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8" w:type="dxa"/>
            <w:vMerge w:val="continue"/>
          </w:tcPr>
          <w:p w14:paraId="6C2E996A">
            <w:pPr>
              <w:spacing w:before="0" w:beforeLines="0" w:after="0" w:afterLines="0" w:line="400" w:lineRule="exact"/>
              <w:rPr>
                <w:rFonts w:hAnsi="仿宋_GB2312" w:cs="仿宋_GB2312"/>
                <w:b/>
                <w:szCs w:val="24"/>
              </w:rPr>
            </w:pPr>
          </w:p>
        </w:tc>
        <w:tc>
          <w:tcPr>
            <w:tcW w:w="709" w:type="dxa"/>
            <w:vAlign w:val="center"/>
          </w:tcPr>
          <w:p w14:paraId="11DA3DF2">
            <w:pPr>
              <w:pStyle w:val="12"/>
              <w:spacing w:before="0" w:beforeLines="0" w:after="0" w:afterLines="0" w:line="400" w:lineRule="exact"/>
              <w:ind w:firstLine="0" w:firstLineChars="0"/>
              <w:jc w:val="center"/>
              <w:rPr>
                <w:rFonts w:hAnsi="仿宋_GB2312" w:cs="仿宋_GB2312"/>
                <w:szCs w:val="24"/>
              </w:rPr>
            </w:pPr>
            <w:r>
              <w:rPr>
                <w:rFonts w:hint="eastAsia" w:hAnsi="仿宋_GB2312" w:cs="仿宋_GB2312"/>
                <w:szCs w:val="24"/>
              </w:rPr>
              <w:t>4</w:t>
            </w:r>
          </w:p>
        </w:tc>
        <w:tc>
          <w:tcPr>
            <w:tcW w:w="4693" w:type="dxa"/>
            <w:vAlign w:val="center"/>
          </w:tcPr>
          <w:p w14:paraId="5A740008">
            <w:pPr>
              <w:spacing w:before="0" w:beforeLines="0" w:after="0" w:afterLines="0" w:line="240" w:lineRule="auto"/>
              <w:rPr>
                <w:rFonts w:hAnsi="仿宋_GB2312" w:cs="仿宋_GB2312"/>
                <w:szCs w:val="24"/>
              </w:rPr>
            </w:pPr>
            <w:r>
              <w:rPr>
                <w:rFonts w:hint="eastAsia" w:hAnsi="仿宋_GB2312" w:cs="仿宋_GB2312"/>
                <w:szCs w:val="24"/>
              </w:rPr>
              <w:t>孕产妇死亡率（1/10万）</w:t>
            </w:r>
          </w:p>
        </w:tc>
        <w:tc>
          <w:tcPr>
            <w:tcW w:w="1701" w:type="dxa"/>
            <w:vAlign w:val="center"/>
          </w:tcPr>
          <w:p w14:paraId="393AF5F6">
            <w:pPr>
              <w:spacing w:before="0" w:beforeLines="0" w:after="0" w:afterLines="0" w:line="240" w:lineRule="auto"/>
              <w:jc w:val="center"/>
              <w:rPr>
                <w:rFonts w:hAnsi="仿宋_GB2312" w:cs="仿宋_GB2312"/>
                <w:szCs w:val="24"/>
              </w:rPr>
            </w:pPr>
            <w:r>
              <w:rPr>
                <w:rFonts w:hint="eastAsia" w:hAnsi="仿宋_GB2312" w:cs="仿宋_GB2312"/>
                <w:szCs w:val="24"/>
              </w:rPr>
              <w:t>常住人口</w:t>
            </w:r>
          </w:p>
        </w:tc>
        <w:tc>
          <w:tcPr>
            <w:tcW w:w="1560" w:type="dxa"/>
            <w:vAlign w:val="center"/>
          </w:tcPr>
          <w:p w14:paraId="12F70D04">
            <w:pPr>
              <w:spacing w:before="100" w:beforeLines="0" w:beforeAutospacing="1" w:after="100" w:afterLines="0" w:afterAutospacing="1" w:line="240" w:lineRule="auto"/>
              <w:jc w:val="center"/>
              <w:rPr>
                <w:rFonts w:hAnsi="仿宋_GB2312" w:cs="仿宋_GB2312"/>
                <w:szCs w:val="24"/>
              </w:rPr>
            </w:pPr>
            <w:r>
              <w:rPr>
                <w:rFonts w:hint="eastAsia" w:hAnsi="仿宋_GB2312" w:cs="仿宋_GB2312"/>
                <w:szCs w:val="24"/>
              </w:rPr>
              <w:t>0</w:t>
            </w:r>
          </w:p>
        </w:tc>
        <w:tc>
          <w:tcPr>
            <w:tcW w:w="1559" w:type="dxa"/>
            <w:vAlign w:val="center"/>
          </w:tcPr>
          <w:p w14:paraId="1175AFE3">
            <w:pPr>
              <w:spacing w:before="100" w:beforeLines="0" w:beforeAutospacing="1" w:after="100" w:afterLines="0" w:afterAutospacing="1" w:line="240" w:lineRule="auto"/>
              <w:jc w:val="center"/>
              <w:rPr>
                <w:rFonts w:hAnsi="仿宋_GB2312" w:cs="仿宋_GB2312"/>
                <w:szCs w:val="24"/>
              </w:rPr>
            </w:pPr>
            <w:r>
              <w:rPr>
                <w:rFonts w:hint="eastAsia" w:hAnsi="仿宋_GB2312" w:cs="仿宋_GB2312"/>
                <w:szCs w:val="24"/>
              </w:rPr>
              <w:t>6.18</w:t>
            </w:r>
          </w:p>
        </w:tc>
        <w:tc>
          <w:tcPr>
            <w:tcW w:w="1559" w:type="dxa"/>
            <w:vAlign w:val="center"/>
          </w:tcPr>
          <w:p w14:paraId="2FF609A3">
            <w:pPr>
              <w:spacing w:before="0" w:beforeLines="0" w:after="0" w:afterLines="0" w:line="240" w:lineRule="auto"/>
              <w:jc w:val="center"/>
              <w:rPr>
                <w:rFonts w:hAnsi="仿宋_GB2312" w:cs="仿宋_GB2312"/>
                <w:szCs w:val="24"/>
              </w:rPr>
            </w:pPr>
            <w:r>
              <w:rPr>
                <w:rFonts w:hint="eastAsia" w:hAnsi="仿宋_GB2312" w:cs="仿宋_GB2312"/>
                <w:szCs w:val="24"/>
              </w:rPr>
              <w:t>≤9</w:t>
            </w:r>
          </w:p>
        </w:tc>
        <w:tc>
          <w:tcPr>
            <w:tcW w:w="1317" w:type="dxa"/>
            <w:vAlign w:val="center"/>
          </w:tcPr>
          <w:p w14:paraId="3A8A5F12">
            <w:pPr>
              <w:spacing w:before="0" w:beforeLines="0" w:after="0" w:afterLines="0" w:line="240" w:lineRule="auto"/>
              <w:jc w:val="center"/>
              <w:rPr>
                <w:rFonts w:hAnsi="仿宋_GB2312" w:cs="仿宋_GB2312"/>
                <w:szCs w:val="24"/>
              </w:rPr>
            </w:pPr>
            <w:r>
              <w:rPr>
                <w:rFonts w:hint="eastAsia" w:hAnsi="仿宋_GB2312" w:cs="仿宋_GB2312"/>
                <w:szCs w:val="24"/>
              </w:rPr>
              <w:t>预期性</w:t>
            </w:r>
          </w:p>
        </w:tc>
      </w:tr>
      <w:tr w14:paraId="06CF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8" w:type="dxa"/>
            <w:vMerge w:val="restart"/>
            <w:vAlign w:val="center"/>
          </w:tcPr>
          <w:p w14:paraId="2AF7399F">
            <w:pPr>
              <w:spacing w:before="0" w:beforeLines="0" w:after="0" w:afterLines="0" w:line="400" w:lineRule="exact"/>
              <w:jc w:val="center"/>
              <w:rPr>
                <w:rFonts w:hAnsi="仿宋_GB2312" w:cs="仿宋_GB2312"/>
                <w:b/>
                <w:szCs w:val="24"/>
              </w:rPr>
            </w:pPr>
            <w:r>
              <w:rPr>
                <w:rFonts w:hint="eastAsia" w:hAnsi="仿宋_GB2312" w:cs="仿宋_GB2312"/>
                <w:b/>
                <w:szCs w:val="24"/>
              </w:rPr>
              <w:t>疾病</w:t>
            </w:r>
          </w:p>
          <w:p w14:paraId="15356F5E">
            <w:pPr>
              <w:spacing w:before="0" w:beforeLines="0" w:after="0" w:afterLines="0" w:line="400" w:lineRule="exact"/>
              <w:jc w:val="center"/>
              <w:rPr>
                <w:rFonts w:hAnsi="仿宋_GB2312" w:cs="仿宋_GB2312"/>
                <w:b/>
                <w:szCs w:val="24"/>
              </w:rPr>
            </w:pPr>
            <w:r>
              <w:rPr>
                <w:rFonts w:hint="eastAsia" w:hAnsi="仿宋_GB2312" w:cs="仿宋_GB2312"/>
                <w:b/>
                <w:szCs w:val="24"/>
              </w:rPr>
              <w:t>预防</w:t>
            </w:r>
          </w:p>
          <w:p w14:paraId="58CE5B5B">
            <w:pPr>
              <w:spacing w:before="0" w:beforeLines="0" w:after="0" w:afterLines="0" w:line="400" w:lineRule="exact"/>
              <w:jc w:val="center"/>
              <w:rPr>
                <w:rFonts w:hAnsi="仿宋_GB2312" w:cs="仿宋_GB2312"/>
                <w:b/>
                <w:szCs w:val="24"/>
              </w:rPr>
            </w:pPr>
            <w:r>
              <w:rPr>
                <w:rFonts w:hint="eastAsia" w:hAnsi="仿宋_GB2312" w:cs="仿宋_GB2312"/>
                <w:b/>
                <w:szCs w:val="24"/>
              </w:rPr>
              <w:t>控制</w:t>
            </w:r>
          </w:p>
        </w:tc>
        <w:tc>
          <w:tcPr>
            <w:tcW w:w="709" w:type="dxa"/>
            <w:vAlign w:val="center"/>
          </w:tcPr>
          <w:p w14:paraId="05E19FBB">
            <w:pPr>
              <w:pStyle w:val="12"/>
              <w:spacing w:before="0" w:beforeLines="0" w:after="0" w:afterLines="0" w:line="400" w:lineRule="exact"/>
              <w:ind w:firstLine="0" w:firstLineChars="0"/>
              <w:jc w:val="center"/>
              <w:rPr>
                <w:rFonts w:hAnsi="仿宋_GB2312" w:cs="仿宋_GB2312"/>
                <w:szCs w:val="24"/>
              </w:rPr>
            </w:pPr>
            <w:r>
              <w:rPr>
                <w:rFonts w:hint="eastAsia" w:hAnsi="仿宋_GB2312" w:cs="仿宋_GB2312"/>
                <w:szCs w:val="24"/>
              </w:rPr>
              <w:t>5</w:t>
            </w:r>
          </w:p>
        </w:tc>
        <w:tc>
          <w:tcPr>
            <w:tcW w:w="4693" w:type="dxa"/>
            <w:vAlign w:val="center"/>
          </w:tcPr>
          <w:p w14:paraId="636BF9EC">
            <w:pPr>
              <w:spacing w:before="0" w:beforeLines="0" w:after="0" w:afterLines="0" w:line="240" w:lineRule="auto"/>
              <w:rPr>
                <w:rFonts w:hAnsi="仿宋_GB2312" w:cs="仿宋_GB2312"/>
                <w:szCs w:val="24"/>
              </w:rPr>
            </w:pPr>
            <w:r>
              <w:rPr>
                <w:rFonts w:hint="eastAsia" w:hAnsi="仿宋_GB2312" w:cs="仿宋_GB2312"/>
                <w:szCs w:val="24"/>
              </w:rPr>
              <w:t>法定传染病报告率（%）</w:t>
            </w:r>
          </w:p>
        </w:tc>
        <w:tc>
          <w:tcPr>
            <w:tcW w:w="1701" w:type="dxa"/>
            <w:vAlign w:val="center"/>
          </w:tcPr>
          <w:p w14:paraId="18B5558B">
            <w:pPr>
              <w:spacing w:before="0" w:beforeLines="0" w:after="0" w:afterLines="0" w:line="240" w:lineRule="auto"/>
              <w:jc w:val="center"/>
              <w:rPr>
                <w:rFonts w:hAnsi="仿宋_GB2312" w:cs="仿宋_GB2312"/>
                <w:szCs w:val="24"/>
              </w:rPr>
            </w:pPr>
            <w:r>
              <w:rPr>
                <w:rFonts w:hint="eastAsia" w:hAnsi="仿宋_GB2312" w:cs="仿宋_GB2312"/>
                <w:szCs w:val="24"/>
              </w:rPr>
              <w:t>常住人口</w:t>
            </w:r>
          </w:p>
        </w:tc>
        <w:tc>
          <w:tcPr>
            <w:tcW w:w="1560" w:type="dxa"/>
            <w:vAlign w:val="center"/>
          </w:tcPr>
          <w:p w14:paraId="26C1FC63">
            <w:pPr>
              <w:spacing w:before="0" w:beforeLines="0" w:after="0" w:afterLines="0" w:line="240" w:lineRule="auto"/>
              <w:jc w:val="center"/>
              <w:rPr>
                <w:rFonts w:hAnsi="仿宋_GB2312" w:cs="仿宋_GB2312"/>
                <w:szCs w:val="24"/>
              </w:rPr>
            </w:pPr>
            <w:r>
              <w:rPr>
                <w:rFonts w:hint="eastAsia" w:hAnsi="仿宋_GB2312" w:cs="仿宋_GB2312"/>
                <w:szCs w:val="24"/>
              </w:rPr>
              <w:t>99.09</w:t>
            </w:r>
          </w:p>
        </w:tc>
        <w:tc>
          <w:tcPr>
            <w:tcW w:w="1559" w:type="dxa"/>
            <w:vAlign w:val="center"/>
          </w:tcPr>
          <w:p w14:paraId="1E345E8A">
            <w:pPr>
              <w:spacing w:before="0" w:beforeLines="0" w:after="0" w:afterLines="0" w:line="240" w:lineRule="auto"/>
              <w:jc w:val="center"/>
              <w:rPr>
                <w:rFonts w:hAnsi="仿宋_GB2312" w:cs="仿宋_GB2312"/>
                <w:szCs w:val="24"/>
              </w:rPr>
            </w:pPr>
            <w:r>
              <w:rPr>
                <w:rFonts w:hint="eastAsia" w:hAnsi="仿宋_GB2312" w:cs="仿宋_GB2312"/>
                <w:bCs/>
                <w:szCs w:val="24"/>
              </w:rPr>
              <w:t>≥</w:t>
            </w:r>
            <w:r>
              <w:rPr>
                <w:rFonts w:hint="eastAsia" w:hAnsi="仿宋_GB2312" w:cs="仿宋_GB2312"/>
                <w:szCs w:val="24"/>
              </w:rPr>
              <w:t>96</w:t>
            </w:r>
          </w:p>
        </w:tc>
        <w:tc>
          <w:tcPr>
            <w:tcW w:w="1559" w:type="dxa"/>
            <w:vAlign w:val="center"/>
          </w:tcPr>
          <w:p w14:paraId="650B54B9">
            <w:pPr>
              <w:spacing w:before="0" w:beforeLines="0" w:after="0" w:afterLines="0" w:line="240" w:lineRule="auto"/>
              <w:jc w:val="center"/>
              <w:rPr>
                <w:rFonts w:hAnsi="仿宋_GB2312" w:cs="仿宋_GB2312"/>
                <w:szCs w:val="24"/>
              </w:rPr>
            </w:pPr>
            <w:r>
              <w:rPr>
                <w:rFonts w:hint="eastAsia" w:hAnsi="仿宋_GB2312" w:cs="仿宋_GB2312"/>
                <w:bCs/>
                <w:szCs w:val="24"/>
              </w:rPr>
              <w:t>≥98</w:t>
            </w:r>
          </w:p>
        </w:tc>
        <w:tc>
          <w:tcPr>
            <w:tcW w:w="1317" w:type="dxa"/>
            <w:vAlign w:val="center"/>
          </w:tcPr>
          <w:p w14:paraId="2E3072F2">
            <w:pPr>
              <w:spacing w:before="0" w:beforeLines="0" w:after="0" w:afterLines="0" w:line="240" w:lineRule="auto"/>
              <w:jc w:val="center"/>
              <w:rPr>
                <w:rFonts w:hAnsi="仿宋_GB2312" w:cs="仿宋_GB2312"/>
                <w:szCs w:val="24"/>
              </w:rPr>
            </w:pPr>
            <w:r>
              <w:rPr>
                <w:rFonts w:hint="eastAsia" w:hAnsi="仿宋_GB2312" w:cs="仿宋_GB2312"/>
                <w:szCs w:val="24"/>
              </w:rPr>
              <w:t>约束性</w:t>
            </w:r>
          </w:p>
        </w:tc>
      </w:tr>
      <w:tr w14:paraId="6BB0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8" w:type="dxa"/>
            <w:vMerge w:val="continue"/>
          </w:tcPr>
          <w:p w14:paraId="75DAE8E6">
            <w:pPr>
              <w:spacing w:before="0" w:beforeLines="0" w:after="0" w:afterLines="0" w:line="400" w:lineRule="exact"/>
              <w:rPr>
                <w:rFonts w:hAnsi="仿宋_GB2312" w:cs="仿宋_GB2312"/>
                <w:b/>
                <w:szCs w:val="24"/>
              </w:rPr>
            </w:pPr>
          </w:p>
        </w:tc>
        <w:tc>
          <w:tcPr>
            <w:tcW w:w="709" w:type="dxa"/>
            <w:vAlign w:val="center"/>
          </w:tcPr>
          <w:p w14:paraId="0275F5E2">
            <w:pPr>
              <w:pStyle w:val="12"/>
              <w:spacing w:before="0" w:beforeLines="0" w:after="0" w:afterLines="0" w:line="400" w:lineRule="exact"/>
              <w:ind w:firstLine="0" w:firstLineChars="0"/>
              <w:jc w:val="center"/>
              <w:rPr>
                <w:rFonts w:hAnsi="仿宋_GB2312" w:cs="仿宋_GB2312"/>
                <w:szCs w:val="24"/>
              </w:rPr>
            </w:pPr>
            <w:r>
              <w:rPr>
                <w:rFonts w:hint="eastAsia" w:hAnsi="仿宋_GB2312" w:cs="仿宋_GB2312"/>
                <w:szCs w:val="24"/>
              </w:rPr>
              <w:t>6</w:t>
            </w:r>
          </w:p>
        </w:tc>
        <w:tc>
          <w:tcPr>
            <w:tcW w:w="4693" w:type="dxa"/>
            <w:vAlign w:val="center"/>
          </w:tcPr>
          <w:p w14:paraId="4E5DBE02">
            <w:pPr>
              <w:spacing w:before="100" w:beforeLines="0" w:beforeAutospacing="1" w:after="100" w:afterLines="0" w:afterAutospacing="1" w:line="240" w:lineRule="auto"/>
              <w:rPr>
                <w:rFonts w:hAnsi="仿宋_GB2312" w:cs="仿宋_GB2312"/>
                <w:szCs w:val="24"/>
              </w:rPr>
            </w:pPr>
            <w:r>
              <w:rPr>
                <w:rFonts w:hint="eastAsia" w:hAnsi="仿宋_GB2312" w:cs="仿宋_GB2312"/>
                <w:szCs w:val="24"/>
              </w:rPr>
              <w:t>肺结核病患者系统管理率（%）</w:t>
            </w:r>
          </w:p>
        </w:tc>
        <w:tc>
          <w:tcPr>
            <w:tcW w:w="1701" w:type="dxa"/>
            <w:vAlign w:val="center"/>
          </w:tcPr>
          <w:p w14:paraId="64328976">
            <w:pPr>
              <w:spacing w:before="100" w:beforeLines="0" w:beforeAutospacing="1" w:after="100" w:afterLines="0" w:afterAutospacing="1" w:line="240" w:lineRule="auto"/>
              <w:jc w:val="center"/>
              <w:rPr>
                <w:rFonts w:hAnsi="仿宋_GB2312" w:cs="仿宋_GB2312"/>
                <w:szCs w:val="24"/>
              </w:rPr>
            </w:pPr>
            <w:r>
              <w:rPr>
                <w:rFonts w:hint="eastAsia" w:hAnsi="仿宋_GB2312" w:cs="仿宋_GB2312"/>
                <w:szCs w:val="24"/>
              </w:rPr>
              <w:t>常住人口</w:t>
            </w:r>
          </w:p>
        </w:tc>
        <w:tc>
          <w:tcPr>
            <w:tcW w:w="1560" w:type="dxa"/>
            <w:vAlign w:val="center"/>
          </w:tcPr>
          <w:p w14:paraId="2ADAC46C">
            <w:pPr>
              <w:spacing w:before="100" w:beforeLines="0" w:beforeAutospacing="1" w:after="100" w:afterLines="0" w:afterAutospacing="1" w:line="240" w:lineRule="auto"/>
              <w:jc w:val="center"/>
              <w:rPr>
                <w:rFonts w:hAnsi="仿宋_GB2312" w:cs="仿宋_GB2312"/>
                <w:bCs/>
                <w:szCs w:val="24"/>
              </w:rPr>
            </w:pPr>
            <w:r>
              <w:rPr>
                <w:rFonts w:hint="eastAsia" w:hAnsi="仿宋_GB2312" w:cs="仿宋_GB2312"/>
                <w:bCs/>
                <w:szCs w:val="24"/>
              </w:rPr>
              <w:t>92</w:t>
            </w:r>
          </w:p>
        </w:tc>
        <w:tc>
          <w:tcPr>
            <w:tcW w:w="1559" w:type="dxa"/>
            <w:vAlign w:val="center"/>
          </w:tcPr>
          <w:p w14:paraId="5A4ADDC9">
            <w:pPr>
              <w:spacing w:before="100" w:beforeLines="0" w:beforeAutospacing="1" w:after="100" w:afterLines="0" w:afterAutospacing="1" w:line="240" w:lineRule="auto"/>
              <w:jc w:val="center"/>
              <w:rPr>
                <w:rFonts w:hAnsi="仿宋_GB2312" w:cs="仿宋_GB2312"/>
                <w:bCs/>
                <w:szCs w:val="24"/>
              </w:rPr>
            </w:pPr>
            <w:r>
              <w:rPr>
                <w:rFonts w:hint="eastAsia" w:hAnsi="仿宋_GB2312" w:cs="仿宋_GB2312"/>
                <w:bCs/>
                <w:szCs w:val="24"/>
              </w:rPr>
              <w:t>90</w:t>
            </w:r>
          </w:p>
        </w:tc>
        <w:tc>
          <w:tcPr>
            <w:tcW w:w="1559" w:type="dxa"/>
            <w:vAlign w:val="center"/>
          </w:tcPr>
          <w:p w14:paraId="6044AE31">
            <w:pPr>
              <w:spacing w:before="100" w:beforeLines="0" w:beforeAutospacing="1" w:after="100" w:afterLines="0" w:afterAutospacing="1" w:line="240" w:lineRule="auto"/>
              <w:jc w:val="center"/>
              <w:rPr>
                <w:rFonts w:hAnsi="仿宋_GB2312" w:cs="仿宋_GB2312"/>
                <w:bCs/>
                <w:szCs w:val="24"/>
              </w:rPr>
            </w:pPr>
            <w:r>
              <w:rPr>
                <w:rFonts w:hint="eastAsia" w:hAnsi="仿宋_GB2312" w:cs="仿宋_GB2312"/>
                <w:bCs/>
                <w:szCs w:val="24"/>
              </w:rPr>
              <w:t>≥95</w:t>
            </w:r>
          </w:p>
        </w:tc>
        <w:tc>
          <w:tcPr>
            <w:tcW w:w="1317" w:type="dxa"/>
            <w:vAlign w:val="center"/>
          </w:tcPr>
          <w:p w14:paraId="033560A3">
            <w:pPr>
              <w:spacing w:before="0" w:beforeLines="0" w:after="0" w:afterLines="0" w:line="240" w:lineRule="auto"/>
              <w:jc w:val="center"/>
              <w:rPr>
                <w:rFonts w:hAnsi="仿宋_GB2312" w:cs="仿宋_GB2312"/>
                <w:szCs w:val="24"/>
              </w:rPr>
            </w:pPr>
            <w:r>
              <w:rPr>
                <w:rFonts w:hint="eastAsia" w:hAnsi="仿宋_GB2312" w:cs="仿宋_GB2312"/>
                <w:kern w:val="0"/>
                <w:szCs w:val="24"/>
              </w:rPr>
              <w:t>预期性</w:t>
            </w:r>
          </w:p>
        </w:tc>
      </w:tr>
      <w:tr w14:paraId="09F0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8" w:type="dxa"/>
            <w:vMerge w:val="continue"/>
          </w:tcPr>
          <w:p w14:paraId="56336870">
            <w:pPr>
              <w:spacing w:before="0" w:beforeLines="0" w:after="0" w:afterLines="0" w:line="400" w:lineRule="exact"/>
              <w:rPr>
                <w:rFonts w:hAnsi="仿宋_GB2312" w:cs="仿宋_GB2312"/>
                <w:b/>
                <w:szCs w:val="24"/>
              </w:rPr>
            </w:pPr>
          </w:p>
        </w:tc>
        <w:tc>
          <w:tcPr>
            <w:tcW w:w="709" w:type="dxa"/>
            <w:vAlign w:val="center"/>
          </w:tcPr>
          <w:p w14:paraId="5CF0D2B1">
            <w:pPr>
              <w:pStyle w:val="12"/>
              <w:spacing w:before="0" w:beforeLines="0" w:after="0" w:afterLines="0" w:line="400" w:lineRule="exact"/>
              <w:ind w:firstLine="0" w:firstLineChars="0"/>
              <w:jc w:val="center"/>
              <w:rPr>
                <w:rFonts w:hAnsi="仿宋_GB2312" w:cs="仿宋_GB2312"/>
                <w:szCs w:val="24"/>
              </w:rPr>
            </w:pPr>
            <w:r>
              <w:rPr>
                <w:rFonts w:hint="eastAsia" w:hAnsi="仿宋_GB2312" w:cs="仿宋_GB2312"/>
                <w:szCs w:val="24"/>
              </w:rPr>
              <w:t>7</w:t>
            </w:r>
          </w:p>
        </w:tc>
        <w:tc>
          <w:tcPr>
            <w:tcW w:w="4693" w:type="dxa"/>
            <w:vAlign w:val="center"/>
          </w:tcPr>
          <w:p w14:paraId="18730542">
            <w:pPr>
              <w:spacing w:before="0" w:beforeLines="0" w:after="0" w:afterLines="0" w:line="240" w:lineRule="auto"/>
              <w:rPr>
                <w:rFonts w:hAnsi="仿宋_GB2312" w:cs="仿宋_GB2312"/>
                <w:szCs w:val="24"/>
              </w:rPr>
            </w:pPr>
            <w:r>
              <w:rPr>
                <w:rFonts w:hint="eastAsia" w:hAnsi="仿宋_GB2312" w:cs="仿宋_GB2312"/>
                <w:szCs w:val="24"/>
              </w:rPr>
              <w:t>严重精神障碍患者规范管理率（%）</w:t>
            </w:r>
          </w:p>
        </w:tc>
        <w:tc>
          <w:tcPr>
            <w:tcW w:w="1701" w:type="dxa"/>
            <w:vAlign w:val="center"/>
          </w:tcPr>
          <w:p w14:paraId="2059FE90">
            <w:pPr>
              <w:spacing w:before="0" w:beforeLines="0" w:after="0" w:afterLines="0" w:line="240" w:lineRule="auto"/>
              <w:jc w:val="center"/>
              <w:rPr>
                <w:rFonts w:hAnsi="仿宋_GB2312" w:cs="仿宋_GB2312"/>
                <w:szCs w:val="24"/>
              </w:rPr>
            </w:pPr>
            <w:r>
              <w:rPr>
                <w:rFonts w:hint="eastAsia" w:hAnsi="仿宋_GB2312" w:cs="仿宋_GB2312"/>
                <w:szCs w:val="24"/>
              </w:rPr>
              <w:t>户籍人口</w:t>
            </w:r>
          </w:p>
        </w:tc>
        <w:tc>
          <w:tcPr>
            <w:tcW w:w="1560" w:type="dxa"/>
            <w:vAlign w:val="center"/>
          </w:tcPr>
          <w:p w14:paraId="6974C01B">
            <w:pPr>
              <w:spacing w:before="100" w:beforeLines="0" w:beforeAutospacing="1" w:after="100" w:afterLines="0" w:afterAutospacing="1" w:line="240" w:lineRule="auto"/>
              <w:jc w:val="center"/>
              <w:rPr>
                <w:rFonts w:hAnsi="仿宋_GB2312" w:cs="仿宋_GB2312"/>
                <w:bCs/>
                <w:szCs w:val="24"/>
              </w:rPr>
            </w:pPr>
            <w:r>
              <w:rPr>
                <w:rFonts w:hint="eastAsia" w:hAnsi="仿宋_GB2312" w:cs="仿宋_GB2312"/>
                <w:bCs/>
                <w:szCs w:val="24"/>
              </w:rPr>
              <w:t>66.1</w:t>
            </w:r>
          </w:p>
        </w:tc>
        <w:tc>
          <w:tcPr>
            <w:tcW w:w="1559" w:type="dxa"/>
            <w:vAlign w:val="center"/>
          </w:tcPr>
          <w:p w14:paraId="01E6BBD1">
            <w:pPr>
              <w:spacing w:before="100" w:beforeLines="0" w:beforeAutospacing="1" w:after="100" w:afterLines="0" w:afterAutospacing="1" w:line="240" w:lineRule="auto"/>
              <w:jc w:val="center"/>
              <w:rPr>
                <w:rFonts w:hAnsi="仿宋_GB2312" w:cs="仿宋_GB2312"/>
                <w:bCs/>
                <w:szCs w:val="24"/>
              </w:rPr>
            </w:pPr>
            <w:r>
              <w:rPr>
                <w:rFonts w:hint="eastAsia" w:hAnsi="仿宋_GB2312" w:cs="仿宋_GB2312"/>
                <w:bCs/>
                <w:szCs w:val="24"/>
              </w:rPr>
              <w:t>63.35</w:t>
            </w:r>
          </w:p>
        </w:tc>
        <w:tc>
          <w:tcPr>
            <w:tcW w:w="1559" w:type="dxa"/>
            <w:vAlign w:val="center"/>
          </w:tcPr>
          <w:p w14:paraId="7B9134C3">
            <w:pPr>
              <w:spacing w:before="100" w:beforeLines="0" w:beforeAutospacing="1" w:after="100" w:afterLines="0" w:afterAutospacing="1" w:line="240" w:lineRule="auto"/>
              <w:jc w:val="center"/>
              <w:rPr>
                <w:rFonts w:hAnsi="仿宋_GB2312" w:cs="仿宋_GB2312"/>
                <w:szCs w:val="24"/>
              </w:rPr>
            </w:pPr>
            <w:r>
              <w:rPr>
                <w:rFonts w:hint="eastAsia" w:hAnsi="仿宋_GB2312" w:cs="仿宋_GB2312"/>
                <w:bCs/>
                <w:szCs w:val="24"/>
              </w:rPr>
              <w:t>≥82</w:t>
            </w:r>
          </w:p>
        </w:tc>
        <w:tc>
          <w:tcPr>
            <w:tcW w:w="1317" w:type="dxa"/>
            <w:vAlign w:val="center"/>
          </w:tcPr>
          <w:p w14:paraId="5302D7FA">
            <w:pPr>
              <w:spacing w:before="0" w:beforeLines="0" w:after="0" w:afterLines="0" w:line="240" w:lineRule="auto"/>
              <w:jc w:val="center"/>
              <w:rPr>
                <w:rFonts w:hAnsi="仿宋_GB2312" w:cs="仿宋_GB2312"/>
                <w:szCs w:val="24"/>
              </w:rPr>
            </w:pPr>
            <w:r>
              <w:rPr>
                <w:rFonts w:hint="eastAsia" w:hAnsi="仿宋_GB2312" w:cs="仿宋_GB2312"/>
                <w:kern w:val="0"/>
                <w:szCs w:val="24"/>
              </w:rPr>
              <w:t>预期性</w:t>
            </w:r>
          </w:p>
        </w:tc>
      </w:tr>
      <w:tr w14:paraId="39B4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8" w:type="dxa"/>
            <w:vMerge w:val="continue"/>
          </w:tcPr>
          <w:p w14:paraId="0157B8FD">
            <w:pPr>
              <w:spacing w:before="0" w:beforeLines="0" w:after="0" w:afterLines="0" w:line="400" w:lineRule="exact"/>
              <w:rPr>
                <w:rFonts w:hAnsi="仿宋_GB2312" w:cs="仿宋_GB2312"/>
                <w:b/>
                <w:szCs w:val="24"/>
              </w:rPr>
            </w:pPr>
          </w:p>
        </w:tc>
        <w:tc>
          <w:tcPr>
            <w:tcW w:w="709" w:type="dxa"/>
            <w:vAlign w:val="center"/>
          </w:tcPr>
          <w:p w14:paraId="3F9979D3">
            <w:pPr>
              <w:pStyle w:val="12"/>
              <w:spacing w:before="0" w:beforeLines="0" w:after="0" w:afterLines="0" w:line="400" w:lineRule="exact"/>
              <w:ind w:firstLine="0" w:firstLineChars="0"/>
              <w:jc w:val="center"/>
              <w:rPr>
                <w:rFonts w:hAnsi="仿宋_GB2312" w:cs="仿宋_GB2312"/>
                <w:szCs w:val="24"/>
              </w:rPr>
            </w:pPr>
            <w:r>
              <w:rPr>
                <w:rFonts w:hint="eastAsia" w:hAnsi="仿宋_GB2312" w:cs="仿宋_GB2312"/>
                <w:szCs w:val="24"/>
              </w:rPr>
              <w:t>8</w:t>
            </w:r>
          </w:p>
        </w:tc>
        <w:tc>
          <w:tcPr>
            <w:tcW w:w="4693" w:type="dxa"/>
            <w:vAlign w:val="center"/>
          </w:tcPr>
          <w:p w14:paraId="29E8DE07">
            <w:pPr>
              <w:spacing w:before="100" w:beforeLines="0" w:beforeAutospacing="1" w:after="100" w:afterLines="0" w:afterAutospacing="1" w:line="240" w:lineRule="auto"/>
              <w:rPr>
                <w:rFonts w:hAnsi="仿宋_GB2312" w:cs="仿宋_GB2312"/>
                <w:szCs w:val="24"/>
              </w:rPr>
            </w:pPr>
            <w:r>
              <w:rPr>
                <w:rFonts w:hint="eastAsia" w:hAnsi="仿宋_GB2312" w:cs="仿宋_GB2312"/>
                <w:szCs w:val="24"/>
              </w:rPr>
              <w:t>居民具备健康素养比例（%）</w:t>
            </w:r>
          </w:p>
        </w:tc>
        <w:tc>
          <w:tcPr>
            <w:tcW w:w="1701" w:type="dxa"/>
            <w:vAlign w:val="center"/>
          </w:tcPr>
          <w:p w14:paraId="79CB175B">
            <w:pPr>
              <w:spacing w:before="100" w:beforeLines="0" w:beforeAutospacing="1" w:after="100" w:afterLines="0" w:afterAutospacing="1" w:line="240" w:lineRule="auto"/>
              <w:jc w:val="center"/>
              <w:rPr>
                <w:rFonts w:hAnsi="仿宋_GB2312" w:cs="仿宋_GB2312"/>
                <w:szCs w:val="24"/>
              </w:rPr>
            </w:pPr>
            <w:r>
              <w:rPr>
                <w:rFonts w:hint="eastAsia" w:hAnsi="仿宋_GB2312" w:cs="仿宋_GB2312"/>
                <w:szCs w:val="24"/>
              </w:rPr>
              <w:t>常住人口</w:t>
            </w:r>
          </w:p>
        </w:tc>
        <w:tc>
          <w:tcPr>
            <w:tcW w:w="1560" w:type="dxa"/>
            <w:vAlign w:val="center"/>
          </w:tcPr>
          <w:p w14:paraId="0210FAD1">
            <w:pPr>
              <w:spacing w:before="100" w:beforeLines="0" w:beforeAutospacing="1" w:after="100" w:afterLines="0" w:afterAutospacing="1" w:line="240" w:lineRule="auto"/>
              <w:jc w:val="center"/>
              <w:rPr>
                <w:rFonts w:hAnsi="仿宋_GB2312" w:cs="仿宋_GB2312"/>
                <w:szCs w:val="24"/>
              </w:rPr>
            </w:pPr>
            <w:r>
              <w:rPr>
                <w:rFonts w:hint="eastAsia" w:hAnsi="仿宋_GB2312" w:cs="仿宋_GB2312"/>
                <w:szCs w:val="24"/>
              </w:rPr>
              <w:t>15.</w:t>
            </w:r>
            <w:r>
              <w:rPr>
                <w:rFonts w:hint="eastAsia" w:hAnsi="仿宋_GB2312" w:cs="仿宋_GB2312"/>
                <w:szCs w:val="24"/>
                <w:lang w:val="en-US" w:eastAsia="zh-CN"/>
              </w:rPr>
              <w:t>36</w:t>
            </w:r>
          </w:p>
        </w:tc>
        <w:tc>
          <w:tcPr>
            <w:tcW w:w="1559" w:type="dxa"/>
            <w:vAlign w:val="center"/>
          </w:tcPr>
          <w:p w14:paraId="2EEB9E2C">
            <w:pPr>
              <w:spacing w:before="100" w:beforeLines="0" w:beforeAutospacing="1" w:after="100" w:afterLines="0" w:afterAutospacing="1" w:line="240" w:lineRule="auto"/>
              <w:jc w:val="center"/>
              <w:rPr>
                <w:rFonts w:hAnsi="仿宋_GB2312" w:cs="仿宋_GB2312"/>
                <w:szCs w:val="24"/>
              </w:rPr>
            </w:pPr>
            <w:r>
              <w:rPr>
                <w:rFonts w:hint="eastAsia" w:hAnsi="仿宋_GB2312" w:cs="仿宋_GB2312"/>
                <w:szCs w:val="24"/>
              </w:rPr>
              <w:t>8.87</w:t>
            </w:r>
          </w:p>
        </w:tc>
        <w:tc>
          <w:tcPr>
            <w:tcW w:w="1559" w:type="dxa"/>
            <w:vAlign w:val="center"/>
          </w:tcPr>
          <w:p w14:paraId="7FEB4543">
            <w:pPr>
              <w:spacing w:before="100" w:beforeLines="0" w:beforeAutospacing="1" w:after="100" w:afterLines="0" w:afterAutospacing="1" w:line="240" w:lineRule="auto"/>
              <w:jc w:val="center"/>
              <w:rPr>
                <w:rFonts w:hAnsi="仿宋_GB2312" w:cs="仿宋_GB2312"/>
                <w:szCs w:val="24"/>
              </w:rPr>
            </w:pPr>
            <w:r>
              <w:rPr>
                <w:rFonts w:hint="eastAsia" w:hAnsi="仿宋_GB2312" w:cs="仿宋_GB2312"/>
                <w:bCs/>
                <w:szCs w:val="24"/>
              </w:rPr>
              <w:t>≥</w:t>
            </w:r>
            <w:r>
              <w:rPr>
                <w:rFonts w:hint="eastAsia" w:hAnsi="仿宋_GB2312" w:cs="仿宋_GB2312"/>
                <w:szCs w:val="24"/>
              </w:rPr>
              <w:t>30</w:t>
            </w:r>
          </w:p>
        </w:tc>
        <w:tc>
          <w:tcPr>
            <w:tcW w:w="1317" w:type="dxa"/>
            <w:vAlign w:val="center"/>
          </w:tcPr>
          <w:p w14:paraId="3F084D7D">
            <w:pPr>
              <w:spacing w:before="0" w:beforeLines="0" w:after="0" w:afterLines="0" w:line="240" w:lineRule="auto"/>
              <w:jc w:val="center"/>
              <w:rPr>
                <w:rFonts w:hAnsi="仿宋_GB2312" w:cs="仿宋_GB2312"/>
                <w:szCs w:val="24"/>
              </w:rPr>
            </w:pPr>
            <w:r>
              <w:rPr>
                <w:rFonts w:hint="eastAsia" w:hAnsi="仿宋_GB2312" w:cs="仿宋_GB2312"/>
                <w:kern w:val="0"/>
                <w:szCs w:val="24"/>
              </w:rPr>
              <w:t>预期性</w:t>
            </w:r>
          </w:p>
        </w:tc>
      </w:tr>
      <w:tr w14:paraId="2089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8" w:type="dxa"/>
            <w:vMerge w:val="continue"/>
          </w:tcPr>
          <w:p w14:paraId="691CAA84">
            <w:pPr>
              <w:spacing w:before="0" w:beforeLines="0" w:after="0" w:afterLines="0" w:line="400" w:lineRule="exact"/>
              <w:rPr>
                <w:rFonts w:hAnsi="仿宋_GB2312" w:cs="仿宋_GB2312"/>
                <w:b/>
                <w:szCs w:val="24"/>
              </w:rPr>
            </w:pPr>
          </w:p>
        </w:tc>
        <w:tc>
          <w:tcPr>
            <w:tcW w:w="709" w:type="dxa"/>
            <w:vAlign w:val="center"/>
          </w:tcPr>
          <w:p w14:paraId="0973EFAB">
            <w:pPr>
              <w:pStyle w:val="12"/>
              <w:spacing w:before="0" w:beforeLines="0" w:after="0" w:afterLines="0" w:line="400" w:lineRule="exact"/>
              <w:ind w:firstLine="0" w:firstLineChars="0"/>
              <w:jc w:val="center"/>
              <w:rPr>
                <w:rFonts w:hAnsi="仿宋_GB2312" w:cs="仿宋_GB2312"/>
                <w:szCs w:val="24"/>
              </w:rPr>
            </w:pPr>
            <w:r>
              <w:rPr>
                <w:rFonts w:hint="eastAsia" w:hAnsi="仿宋_GB2312" w:cs="仿宋_GB2312"/>
                <w:szCs w:val="24"/>
              </w:rPr>
              <w:t>9</w:t>
            </w:r>
          </w:p>
        </w:tc>
        <w:tc>
          <w:tcPr>
            <w:tcW w:w="4693" w:type="dxa"/>
            <w:vAlign w:val="center"/>
          </w:tcPr>
          <w:p w14:paraId="3BFD4885">
            <w:pPr>
              <w:spacing w:before="100" w:beforeLines="0" w:beforeAutospacing="1" w:after="100" w:afterLines="0" w:afterAutospacing="1" w:line="240" w:lineRule="auto"/>
              <w:rPr>
                <w:rFonts w:hAnsi="仿宋_GB2312" w:cs="仿宋_GB2312"/>
                <w:szCs w:val="24"/>
              </w:rPr>
            </w:pPr>
            <w:r>
              <w:rPr>
                <w:rFonts w:hint="eastAsia" w:hAnsi="仿宋_GB2312" w:cs="仿宋_GB2312"/>
                <w:szCs w:val="24"/>
              </w:rPr>
              <w:t>高血压规范管理人数占比（%）</w:t>
            </w:r>
          </w:p>
        </w:tc>
        <w:tc>
          <w:tcPr>
            <w:tcW w:w="1701" w:type="dxa"/>
            <w:vAlign w:val="center"/>
          </w:tcPr>
          <w:p w14:paraId="00A7D3EE">
            <w:pPr>
              <w:spacing w:before="100" w:beforeLines="0" w:beforeAutospacing="1" w:after="100" w:afterLines="0" w:afterAutospacing="1" w:line="240" w:lineRule="auto"/>
              <w:jc w:val="center"/>
              <w:rPr>
                <w:rFonts w:hAnsi="仿宋_GB2312" w:cs="仿宋_GB2312"/>
                <w:szCs w:val="24"/>
              </w:rPr>
            </w:pPr>
            <w:r>
              <w:rPr>
                <w:rFonts w:hint="eastAsia" w:hAnsi="仿宋_GB2312" w:cs="仿宋_GB2312"/>
                <w:szCs w:val="24"/>
              </w:rPr>
              <w:t>常住人口</w:t>
            </w:r>
          </w:p>
        </w:tc>
        <w:tc>
          <w:tcPr>
            <w:tcW w:w="1560" w:type="dxa"/>
            <w:vAlign w:val="center"/>
          </w:tcPr>
          <w:p w14:paraId="490CAD60">
            <w:pPr>
              <w:spacing w:before="100" w:beforeLines="0" w:beforeAutospacing="1" w:after="100" w:afterLines="0" w:afterAutospacing="1" w:line="240" w:lineRule="auto"/>
              <w:jc w:val="center"/>
              <w:rPr>
                <w:rFonts w:hAnsi="仿宋_GB2312" w:cs="仿宋_GB2312"/>
                <w:szCs w:val="24"/>
              </w:rPr>
            </w:pPr>
            <w:r>
              <w:rPr>
                <w:rFonts w:hint="eastAsia" w:hAnsi="仿宋_GB2312" w:cs="仿宋_GB2312"/>
                <w:szCs w:val="24"/>
              </w:rPr>
              <w:t>16.26</w:t>
            </w:r>
          </w:p>
        </w:tc>
        <w:tc>
          <w:tcPr>
            <w:tcW w:w="1559" w:type="dxa"/>
            <w:vAlign w:val="center"/>
          </w:tcPr>
          <w:p w14:paraId="4EC138F5">
            <w:pPr>
              <w:spacing w:before="100" w:beforeLines="0" w:beforeAutospacing="1" w:after="100" w:afterLines="0" w:afterAutospacing="1" w:line="240" w:lineRule="auto"/>
              <w:jc w:val="center"/>
              <w:rPr>
                <w:rFonts w:hAnsi="仿宋_GB2312" w:cs="仿宋_GB2312"/>
                <w:bCs/>
                <w:szCs w:val="24"/>
              </w:rPr>
            </w:pPr>
            <w:r>
              <w:rPr>
                <w:rFonts w:hint="eastAsia" w:hAnsi="仿宋_GB2312" w:cs="仿宋_GB2312"/>
                <w:bCs/>
                <w:szCs w:val="24"/>
              </w:rPr>
              <w:t>14.9</w:t>
            </w:r>
          </w:p>
        </w:tc>
        <w:tc>
          <w:tcPr>
            <w:tcW w:w="1559" w:type="dxa"/>
            <w:vAlign w:val="center"/>
          </w:tcPr>
          <w:p w14:paraId="1D26250F">
            <w:pPr>
              <w:spacing w:before="100" w:beforeLines="0" w:beforeAutospacing="1" w:after="100" w:afterLines="0" w:afterAutospacing="1" w:line="240" w:lineRule="auto"/>
              <w:jc w:val="center"/>
              <w:rPr>
                <w:rFonts w:hAnsi="仿宋_GB2312" w:cs="仿宋_GB2312"/>
                <w:bCs/>
                <w:szCs w:val="24"/>
              </w:rPr>
            </w:pPr>
            <w:r>
              <w:rPr>
                <w:rFonts w:hint="eastAsia" w:hAnsi="仿宋_GB2312" w:cs="仿宋_GB2312"/>
                <w:bCs/>
                <w:szCs w:val="24"/>
              </w:rPr>
              <w:t>≥20</w:t>
            </w:r>
          </w:p>
        </w:tc>
        <w:tc>
          <w:tcPr>
            <w:tcW w:w="1317" w:type="dxa"/>
            <w:vAlign w:val="center"/>
          </w:tcPr>
          <w:p w14:paraId="63BEC107">
            <w:pPr>
              <w:spacing w:before="0" w:beforeLines="0" w:after="0" w:afterLines="0" w:line="240" w:lineRule="auto"/>
              <w:jc w:val="center"/>
              <w:rPr>
                <w:rFonts w:hAnsi="仿宋_GB2312" w:cs="仿宋_GB2312"/>
                <w:szCs w:val="24"/>
              </w:rPr>
            </w:pPr>
            <w:r>
              <w:rPr>
                <w:rFonts w:hint="eastAsia" w:hAnsi="仿宋_GB2312" w:cs="仿宋_GB2312"/>
                <w:kern w:val="0"/>
                <w:szCs w:val="24"/>
              </w:rPr>
              <w:t>预期性</w:t>
            </w:r>
          </w:p>
        </w:tc>
      </w:tr>
      <w:tr w14:paraId="2B1D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8" w:type="dxa"/>
            <w:vMerge w:val="continue"/>
          </w:tcPr>
          <w:p w14:paraId="2B39D123">
            <w:pPr>
              <w:spacing w:before="0" w:beforeLines="0" w:after="0" w:afterLines="0" w:line="400" w:lineRule="exact"/>
              <w:rPr>
                <w:rFonts w:hAnsi="仿宋_GB2312" w:cs="仿宋_GB2312"/>
                <w:b/>
                <w:szCs w:val="24"/>
              </w:rPr>
            </w:pPr>
          </w:p>
        </w:tc>
        <w:tc>
          <w:tcPr>
            <w:tcW w:w="709" w:type="dxa"/>
            <w:vAlign w:val="center"/>
          </w:tcPr>
          <w:p w14:paraId="204BD0F9">
            <w:pPr>
              <w:pStyle w:val="12"/>
              <w:spacing w:before="0" w:beforeLines="0" w:after="0" w:afterLines="0" w:line="400" w:lineRule="exact"/>
              <w:ind w:firstLine="0" w:firstLineChars="0"/>
              <w:jc w:val="center"/>
              <w:rPr>
                <w:rFonts w:hAnsi="仿宋_GB2312" w:cs="仿宋_GB2312"/>
                <w:szCs w:val="24"/>
              </w:rPr>
            </w:pPr>
            <w:r>
              <w:rPr>
                <w:rFonts w:hint="eastAsia" w:hAnsi="仿宋_GB2312" w:cs="仿宋_GB2312"/>
                <w:szCs w:val="24"/>
              </w:rPr>
              <w:t>10</w:t>
            </w:r>
          </w:p>
        </w:tc>
        <w:tc>
          <w:tcPr>
            <w:tcW w:w="4693" w:type="dxa"/>
            <w:vAlign w:val="center"/>
          </w:tcPr>
          <w:p w14:paraId="23CE9477">
            <w:pPr>
              <w:spacing w:before="100" w:beforeLines="0" w:beforeAutospacing="1" w:after="100" w:afterLines="0" w:afterAutospacing="1" w:line="240" w:lineRule="auto"/>
              <w:rPr>
                <w:rFonts w:hAnsi="仿宋_GB2312" w:cs="仿宋_GB2312"/>
                <w:szCs w:val="24"/>
              </w:rPr>
            </w:pPr>
            <w:r>
              <w:rPr>
                <w:rFonts w:hint="eastAsia" w:hAnsi="仿宋_GB2312" w:cs="仿宋_GB2312"/>
                <w:szCs w:val="24"/>
              </w:rPr>
              <w:t>2型糖尿病规范管理人数占比（%）</w:t>
            </w:r>
          </w:p>
        </w:tc>
        <w:tc>
          <w:tcPr>
            <w:tcW w:w="1701" w:type="dxa"/>
            <w:vAlign w:val="center"/>
          </w:tcPr>
          <w:p w14:paraId="05A52BC6">
            <w:pPr>
              <w:spacing w:before="100" w:beforeLines="0" w:beforeAutospacing="1" w:after="100" w:afterLines="0" w:afterAutospacing="1" w:line="240" w:lineRule="auto"/>
              <w:jc w:val="center"/>
              <w:rPr>
                <w:rFonts w:hAnsi="仿宋_GB2312" w:cs="仿宋_GB2312"/>
                <w:szCs w:val="24"/>
              </w:rPr>
            </w:pPr>
            <w:r>
              <w:rPr>
                <w:rFonts w:hint="eastAsia" w:hAnsi="仿宋_GB2312" w:cs="仿宋_GB2312"/>
                <w:szCs w:val="24"/>
              </w:rPr>
              <w:t>常住人口</w:t>
            </w:r>
          </w:p>
        </w:tc>
        <w:tc>
          <w:tcPr>
            <w:tcW w:w="1560" w:type="dxa"/>
            <w:vAlign w:val="center"/>
          </w:tcPr>
          <w:p w14:paraId="56F4F00C">
            <w:pPr>
              <w:spacing w:before="100" w:beforeLines="0" w:beforeAutospacing="1" w:after="100" w:afterLines="0" w:afterAutospacing="1" w:line="240" w:lineRule="auto"/>
              <w:jc w:val="center"/>
              <w:rPr>
                <w:rFonts w:hAnsi="仿宋_GB2312" w:cs="仿宋_GB2312"/>
                <w:szCs w:val="24"/>
              </w:rPr>
            </w:pPr>
            <w:r>
              <w:rPr>
                <w:rFonts w:hint="eastAsia" w:hAnsi="仿宋_GB2312" w:cs="仿宋_GB2312"/>
                <w:szCs w:val="24"/>
              </w:rPr>
              <w:t>16.67</w:t>
            </w:r>
          </w:p>
        </w:tc>
        <w:tc>
          <w:tcPr>
            <w:tcW w:w="1559" w:type="dxa"/>
            <w:vAlign w:val="center"/>
          </w:tcPr>
          <w:p w14:paraId="4424A928">
            <w:pPr>
              <w:spacing w:before="100" w:beforeLines="0" w:beforeAutospacing="1" w:after="100" w:afterLines="0" w:afterAutospacing="1" w:line="240" w:lineRule="auto"/>
              <w:jc w:val="center"/>
              <w:rPr>
                <w:rFonts w:hAnsi="仿宋_GB2312" w:cs="仿宋_GB2312"/>
                <w:bCs/>
                <w:szCs w:val="24"/>
              </w:rPr>
            </w:pPr>
            <w:r>
              <w:rPr>
                <w:rFonts w:hint="eastAsia" w:hAnsi="仿宋_GB2312" w:cs="仿宋_GB2312"/>
                <w:bCs/>
                <w:szCs w:val="24"/>
              </w:rPr>
              <w:t>14.9</w:t>
            </w:r>
          </w:p>
        </w:tc>
        <w:tc>
          <w:tcPr>
            <w:tcW w:w="1559" w:type="dxa"/>
            <w:vAlign w:val="center"/>
          </w:tcPr>
          <w:p w14:paraId="2CB08571">
            <w:pPr>
              <w:spacing w:before="100" w:beforeLines="0" w:beforeAutospacing="1" w:after="100" w:afterLines="0" w:afterAutospacing="1" w:line="240" w:lineRule="auto"/>
              <w:jc w:val="center"/>
              <w:rPr>
                <w:rFonts w:hAnsi="仿宋_GB2312" w:cs="仿宋_GB2312"/>
                <w:bCs/>
                <w:szCs w:val="24"/>
              </w:rPr>
            </w:pPr>
            <w:r>
              <w:rPr>
                <w:rFonts w:hint="eastAsia" w:hAnsi="仿宋_GB2312" w:cs="仿宋_GB2312"/>
                <w:bCs/>
                <w:szCs w:val="24"/>
              </w:rPr>
              <w:t>≥20</w:t>
            </w:r>
          </w:p>
        </w:tc>
        <w:tc>
          <w:tcPr>
            <w:tcW w:w="1317" w:type="dxa"/>
            <w:vAlign w:val="center"/>
          </w:tcPr>
          <w:p w14:paraId="3B45D4AD">
            <w:pPr>
              <w:spacing w:before="0" w:beforeLines="0" w:after="0" w:afterLines="0" w:line="240" w:lineRule="auto"/>
              <w:jc w:val="center"/>
              <w:rPr>
                <w:rFonts w:hAnsi="仿宋_GB2312" w:cs="仿宋_GB2312"/>
                <w:szCs w:val="24"/>
              </w:rPr>
            </w:pPr>
            <w:r>
              <w:rPr>
                <w:rFonts w:hint="eastAsia" w:hAnsi="仿宋_GB2312" w:cs="仿宋_GB2312"/>
                <w:kern w:val="0"/>
                <w:szCs w:val="24"/>
              </w:rPr>
              <w:t>预期性</w:t>
            </w:r>
          </w:p>
        </w:tc>
      </w:tr>
      <w:tr w14:paraId="037E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8" w:type="dxa"/>
            <w:vMerge w:val="continue"/>
          </w:tcPr>
          <w:p w14:paraId="165C3F3F">
            <w:pPr>
              <w:spacing w:before="0" w:beforeLines="0" w:after="0" w:afterLines="0" w:line="400" w:lineRule="exact"/>
              <w:rPr>
                <w:rFonts w:hAnsi="仿宋_GB2312" w:cs="仿宋_GB2312"/>
                <w:b/>
                <w:szCs w:val="24"/>
              </w:rPr>
            </w:pPr>
          </w:p>
        </w:tc>
        <w:tc>
          <w:tcPr>
            <w:tcW w:w="709" w:type="dxa"/>
            <w:vAlign w:val="center"/>
          </w:tcPr>
          <w:p w14:paraId="1101F962">
            <w:pPr>
              <w:pStyle w:val="12"/>
              <w:spacing w:before="0" w:beforeLines="0" w:after="0" w:afterLines="0" w:line="400" w:lineRule="exact"/>
              <w:ind w:firstLine="0" w:firstLineChars="0"/>
              <w:jc w:val="center"/>
              <w:rPr>
                <w:rFonts w:hAnsi="仿宋_GB2312" w:cs="仿宋_GB2312"/>
                <w:szCs w:val="24"/>
              </w:rPr>
            </w:pPr>
            <w:r>
              <w:rPr>
                <w:rFonts w:hint="eastAsia" w:hAnsi="仿宋_GB2312" w:cs="仿宋_GB2312"/>
                <w:szCs w:val="24"/>
              </w:rPr>
              <w:t>11</w:t>
            </w:r>
          </w:p>
        </w:tc>
        <w:tc>
          <w:tcPr>
            <w:tcW w:w="4693" w:type="dxa"/>
            <w:vAlign w:val="center"/>
          </w:tcPr>
          <w:p w14:paraId="00908DCB">
            <w:pPr>
              <w:spacing w:before="0" w:beforeLines="0" w:after="0" w:afterLines="0" w:line="400" w:lineRule="exact"/>
              <w:rPr>
                <w:rFonts w:hAnsi="仿宋_GB2312" w:cs="仿宋_GB2312"/>
                <w:szCs w:val="24"/>
              </w:rPr>
            </w:pPr>
            <w:r>
              <w:rPr>
                <w:rFonts w:hint="eastAsia" w:hAnsi="仿宋_GB2312" w:cs="仿宋_GB2312"/>
                <w:szCs w:val="24"/>
              </w:rPr>
              <w:t>居民数字化健康档案覆盖率（%）</w:t>
            </w:r>
          </w:p>
        </w:tc>
        <w:tc>
          <w:tcPr>
            <w:tcW w:w="1701" w:type="dxa"/>
            <w:vAlign w:val="center"/>
          </w:tcPr>
          <w:p w14:paraId="19B01200">
            <w:pPr>
              <w:spacing w:before="0" w:beforeLines="0" w:after="0" w:afterLines="0" w:line="400" w:lineRule="exact"/>
              <w:jc w:val="center"/>
              <w:rPr>
                <w:rFonts w:hAnsi="仿宋_GB2312" w:cs="仿宋_GB2312"/>
                <w:szCs w:val="24"/>
              </w:rPr>
            </w:pPr>
            <w:r>
              <w:rPr>
                <w:rFonts w:hint="eastAsia" w:hAnsi="仿宋_GB2312" w:cs="仿宋_GB2312"/>
                <w:szCs w:val="24"/>
              </w:rPr>
              <w:t>常住人口</w:t>
            </w:r>
          </w:p>
        </w:tc>
        <w:tc>
          <w:tcPr>
            <w:tcW w:w="1560" w:type="dxa"/>
            <w:vAlign w:val="center"/>
          </w:tcPr>
          <w:p w14:paraId="3EE651E1">
            <w:pPr>
              <w:spacing w:before="0" w:beforeLines="0" w:after="0" w:afterLines="0" w:line="400" w:lineRule="exact"/>
              <w:jc w:val="center"/>
              <w:rPr>
                <w:rFonts w:hAnsi="仿宋_GB2312" w:cs="仿宋_GB2312"/>
                <w:szCs w:val="24"/>
              </w:rPr>
            </w:pPr>
            <w:r>
              <w:rPr>
                <w:rFonts w:hint="eastAsia" w:hAnsi="仿宋_GB2312" w:cs="仿宋_GB2312"/>
                <w:szCs w:val="24"/>
              </w:rPr>
              <w:t>97</w:t>
            </w:r>
          </w:p>
        </w:tc>
        <w:tc>
          <w:tcPr>
            <w:tcW w:w="1559" w:type="dxa"/>
            <w:vAlign w:val="center"/>
          </w:tcPr>
          <w:p w14:paraId="00B90F1A">
            <w:pPr>
              <w:spacing w:before="0" w:beforeLines="0" w:after="0" w:afterLines="0" w:line="400" w:lineRule="exact"/>
              <w:jc w:val="center"/>
              <w:rPr>
                <w:rFonts w:hAnsi="仿宋_GB2312" w:cs="仿宋_GB2312"/>
                <w:szCs w:val="24"/>
              </w:rPr>
            </w:pPr>
            <w:r>
              <w:rPr>
                <w:rFonts w:hint="eastAsia" w:hAnsi="仿宋_GB2312" w:cs="仿宋_GB2312"/>
                <w:szCs w:val="24"/>
              </w:rPr>
              <w:t>95</w:t>
            </w:r>
          </w:p>
        </w:tc>
        <w:tc>
          <w:tcPr>
            <w:tcW w:w="1559" w:type="dxa"/>
            <w:vAlign w:val="center"/>
          </w:tcPr>
          <w:p w14:paraId="64AB54E3">
            <w:pPr>
              <w:spacing w:before="0" w:beforeLines="0" w:after="0" w:afterLines="0" w:line="400" w:lineRule="exact"/>
              <w:jc w:val="center"/>
              <w:rPr>
                <w:rFonts w:hAnsi="仿宋_GB2312" w:cs="仿宋_GB2312"/>
                <w:szCs w:val="24"/>
              </w:rPr>
            </w:pPr>
            <w:r>
              <w:rPr>
                <w:rFonts w:hint="eastAsia" w:hAnsi="仿宋_GB2312" w:cs="仿宋_GB2312"/>
                <w:szCs w:val="24"/>
              </w:rPr>
              <w:t>≥99</w:t>
            </w:r>
          </w:p>
        </w:tc>
        <w:tc>
          <w:tcPr>
            <w:tcW w:w="1317" w:type="dxa"/>
            <w:vAlign w:val="center"/>
          </w:tcPr>
          <w:p w14:paraId="4B455DAD">
            <w:pPr>
              <w:spacing w:before="0" w:beforeLines="0" w:after="0" w:afterLines="0" w:line="400" w:lineRule="exact"/>
              <w:jc w:val="center"/>
              <w:rPr>
                <w:rFonts w:hAnsi="仿宋_GB2312" w:cs="仿宋_GB2312"/>
                <w:szCs w:val="24"/>
              </w:rPr>
            </w:pPr>
            <w:r>
              <w:rPr>
                <w:rFonts w:hint="eastAsia" w:hAnsi="仿宋_GB2312" w:cs="仿宋_GB2312"/>
                <w:szCs w:val="24"/>
              </w:rPr>
              <w:t>约束性</w:t>
            </w:r>
          </w:p>
        </w:tc>
      </w:tr>
      <w:tr w14:paraId="0AC0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8" w:type="dxa"/>
            <w:vMerge w:val="continue"/>
            <w:vAlign w:val="center"/>
          </w:tcPr>
          <w:p w14:paraId="488B44E9">
            <w:pPr>
              <w:spacing w:before="0" w:beforeLines="0" w:after="0" w:afterLines="0" w:line="400" w:lineRule="exact"/>
              <w:jc w:val="center"/>
              <w:rPr>
                <w:rFonts w:hAnsi="仿宋_GB2312" w:cs="仿宋_GB2312"/>
                <w:b/>
                <w:szCs w:val="24"/>
              </w:rPr>
            </w:pPr>
          </w:p>
        </w:tc>
        <w:tc>
          <w:tcPr>
            <w:tcW w:w="709" w:type="dxa"/>
            <w:vAlign w:val="center"/>
          </w:tcPr>
          <w:p w14:paraId="59A9CC67">
            <w:pPr>
              <w:pStyle w:val="12"/>
              <w:spacing w:before="0" w:beforeLines="0" w:after="0" w:afterLines="0" w:line="400" w:lineRule="exact"/>
              <w:ind w:firstLine="0" w:firstLineChars="0"/>
              <w:jc w:val="center"/>
              <w:rPr>
                <w:rFonts w:hAnsi="仿宋_GB2312" w:cs="仿宋_GB2312"/>
                <w:szCs w:val="24"/>
              </w:rPr>
            </w:pPr>
            <w:r>
              <w:rPr>
                <w:rFonts w:hint="eastAsia" w:hAnsi="仿宋_GB2312" w:cs="仿宋_GB2312"/>
                <w:szCs w:val="24"/>
              </w:rPr>
              <w:t>12</w:t>
            </w:r>
          </w:p>
        </w:tc>
        <w:tc>
          <w:tcPr>
            <w:tcW w:w="4693" w:type="dxa"/>
            <w:vAlign w:val="center"/>
          </w:tcPr>
          <w:p w14:paraId="24765F44">
            <w:pPr>
              <w:spacing w:before="0" w:beforeLines="0" w:after="0" w:afterLines="0" w:line="240" w:lineRule="auto"/>
              <w:rPr>
                <w:rFonts w:hAnsi="仿宋_GB2312" w:cs="仿宋_GB2312"/>
                <w:szCs w:val="24"/>
              </w:rPr>
            </w:pPr>
            <w:r>
              <w:rPr>
                <w:rFonts w:hint="eastAsia" w:hAnsi="仿宋_GB2312" w:cs="仿宋_GB2312"/>
                <w:szCs w:val="24"/>
              </w:rPr>
              <w:t>儿童国家免疫规划接种率（%）</w:t>
            </w:r>
          </w:p>
        </w:tc>
        <w:tc>
          <w:tcPr>
            <w:tcW w:w="1701" w:type="dxa"/>
            <w:vAlign w:val="center"/>
          </w:tcPr>
          <w:p w14:paraId="06D8D141">
            <w:pPr>
              <w:spacing w:before="0" w:beforeLines="0" w:after="0" w:afterLines="0" w:line="240" w:lineRule="auto"/>
              <w:jc w:val="center"/>
              <w:rPr>
                <w:rFonts w:hAnsi="仿宋_GB2312" w:cs="仿宋_GB2312"/>
                <w:szCs w:val="24"/>
              </w:rPr>
            </w:pPr>
            <w:r>
              <w:rPr>
                <w:rFonts w:hint="eastAsia" w:hAnsi="仿宋_GB2312" w:cs="仿宋_GB2312"/>
                <w:szCs w:val="24"/>
              </w:rPr>
              <w:t>管理人口</w:t>
            </w:r>
          </w:p>
        </w:tc>
        <w:tc>
          <w:tcPr>
            <w:tcW w:w="1560" w:type="dxa"/>
            <w:vAlign w:val="center"/>
          </w:tcPr>
          <w:p w14:paraId="3AA95DD8">
            <w:pPr>
              <w:spacing w:before="0" w:beforeLines="0" w:after="0" w:afterLines="0" w:line="240" w:lineRule="auto"/>
              <w:jc w:val="center"/>
              <w:rPr>
                <w:rFonts w:hAnsi="仿宋_GB2312" w:cs="仿宋_GB2312"/>
                <w:szCs w:val="24"/>
              </w:rPr>
            </w:pPr>
            <w:r>
              <w:rPr>
                <w:rFonts w:hint="eastAsia" w:hAnsi="仿宋_GB2312" w:cs="仿宋_GB2312"/>
                <w:szCs w:val="24"/>
              </w:rPr>
              <w:t>93</w:t>
            </w:r>
          </w:p>
        </w:tc>
        <w:tc>
          <w:tcPr>
            <w:tcW w:w="1559" w:type="dxa"/>
            <w:vAlign w:val="center"/>
          </w:tcPr>
          <w:p w14:paraId="7F5ABD9E">
            <w:pPr>
              <w:spacing w:before="0" w:beforeLines="0" w:after="0" w:afterLines="0" w:line="240" w:lineRule="auto"/>
              <w:jc w:val="center"/>
              <w:rPr>
                <w:rFonts w:hAnsi="仿宋_GB2312" w:cs="仿宋_GB2312"/>
                <w:szCs w:val="24"/>
              </w:rPr>
            </w:pPr>
            <w:r>
              <w:rPr>
                <w:rFonts w:hint="eastAsia" w:hAnsi="仿宋_GB2312" w:cs="仿宋_GB2312"/>
                <w:szCs w:val="24"/>
              </w:rPr>
              <w:t>94.05</w:t>
            </w:r>
          </w:p>
        </w:tc>
        <w:tc>
          <w:tcPr>
            <w:tcW w:w="1559" w:type="dxa"/>
            <w:vAlign w:val="center"/>
          </w:tcPr>
          <w:p w14:paraId="0F453DD0">
            <w:pPr>
              <w:spacing w:before="0" w:beforeLines="0" w:after="0" w:afterLines="0" w:line="240" w:lineRule="auto"/>
              <w:jc w:val="center"/>
              <w:rPr>
                <w:rFonts w:hAnsi="仿宋_GB2312" w:cs="仿宋_GB2312"/>
                <w:szCs w:val="24"/>
              </w:rPr>
            </w:pPr>
            <w:r>
              <w:rPr>
                <w:rFonts w:hint="eastAsia" w:hAnsi="仿宋_GB2312" w:cs="仿宋_GB2312"/>
                <w:szCs w:val="24"/>
              </w:rPr>
              <w:t>≥95</w:t>
            </w:r>
          </w:p>
        </w:tc>
        <w:tc>
          <w:tcPr>
            <w:tcW w:w="1317" w:type="dxa"/>
            <w:vAlign w:val="center"/>
          </w:tcPr>
          <w:p w14:paraId="28FF702D">
            <w:pPr>
              <w:spacing w:before="0" w:beforeLines="0" w:after="0" w:afterLines="0" w:line="240" w:lineRule="auto"/>
              <w:jc w:val="center"/>
              <w:rPr>
                <w:rFonts w:hAnsi="仿宋_GB2312" w:cs="仿宋_GB2312"/>
                <w:szCs w:val="24"/>
              </w:rPr>
            </w:pPr>
            <w:r>
              <w:rPr>
                <w:rFonts w:hint="eastAsia" w:hAnsi="仿宋_GB2312" w:cs="仿宋_GB2312"/>
                <w:kern w:val="0"/>
                <w:szCs w:val="24"/>
              </w:rPr>
              <w:t>预期性</w:t>
            </w:r>
          </w:p>
        </w:tc>
      </w:tr>
      <w:tr w14:paraId="114C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8" w:type="dxa"/>
            <w:vMerge w:val="restart"/>
            <w:vAlign w:val="center"/>
          </w:tcPr>
          <w:p w14:paraId="3E900C45">
            <w:pPr>
              <w:spacing w:before="0" w:beforeLines="0" w:after="0" w:afterLines="0" w:line="400" w:lineRule="exact"/>
              <w:jc w:val="center"/>
              <w:rPr>
                <w:rFonts w:hAnsi="仿宋_GB2312" w:cs="仿宋_GB2312"/>
                <w:b/>
                <w:szCs w:val="24"/>
              </w:rPr>
            </w:pPr>
            <w:r>
              <w:rPr>
                <w:rFonts w:hint="eastAsia" w:hAnsi="仿宋_GB2312" w:cs="仿宋_GB2312"/>
                <w:b/>
                <w:szCs w:val="24"/>
              </w:rPr>
              <w:t>卫生投入</w:t>
            </w:r>
          </w:p>
        </w:tc>
        <w:tc>
          <w:tcPr>
            <w:tcW w:w="709" w:type="dxa"/>
            <w:vAlign w:val="center"/>
          </w:tcPr>
          <w:p w14:paraId="4EDD2A27">
            <w:pPr>
              <w:pStyle w:val="12"/>
              <w:spacing w:before="0" w:beforeLines="0" w:after="0" w:afterLines="0" w:line="400" w:lineRule="exact"/>
              <w:ind w:firstLine="0" w:firstLineChars="0"/>
              <w:jc w:val="center"/>
              <w:rPr>
                <w:rFonts w:hAnsi="仿宋_GB2312" w:cs="仿宋_GB2312"/>
                <w:szCs w:val="24"/>
              </w:rPr>
            </w:pPr>
            <w:r>
              <w:rPr>
                <w:rFonts w:hint="eastAsia" w:hAnsi="仿宋_GB2312" w:cs="仿宋_GB2312"/>
                <w:szCs w:val="24"/>
              </w:rPr>
              <w:t>13</w:t>
            </w:r>
          </w:p>
        </w:tc>
        <w:tc>
          <w:tcPr>
            <w:tcW w:w="4693" w:type="dxa"/>
            <w:vAlign w:val="center"/>
          </w:tcPr>
          <w:p w14:paraId="58FD8362">
            <w:pPr>
              <w:spacing w:before="0" w:beforeLines="0" w:after="0" w:afterLines="0" w:line="400" w:lineRule="exact"/>
              <w:rPr>
                <w:rFonts w:hAnsi="仿宋_GB2312" w:cs="仿宋_GB2312"/>
                <w:szCs w:val="24"/>
              </w:rPr>
            </w:pPr>
            <w:r>
              <w:rPr>
                <w:rFonts w:hint="eastAsia" w:hAnsi="仿宋_GB2312" w:cs="仿宋_GB2312"/>
                <w:szCs w:val="24"/>
              </w:rPr>
              <w:t>个人卫生支出占卫生总费用的比例（%）</w:t>
            </w:r>
          </w:p>
        </w:tc>
        <w:tc>
          <w:tcPr>
            <w:tcW w:w="1701" w:type="dxa"/>
            <w:vAlign w:val="center"/>
          </w:tcPr>
          <w:p w14:paraId="1759A239">
            <w:pPr>
              <w:spacing w:before="0" w:beforeLines="0" w:after="0" w:afterLines="0" w:line="400" w:lineRule="exact"/>
              <w:jc w:val="center"/>
              <w:rPr>
                <w:rFonts w:hAnsi="仿宋_GB2312" w:cs="仿宋_GB2312"/>
                <w:szCs w:val="24"/>
              </w:rPr>
            </w:pPr>
            <w:r>
              <w:rPr>
                <w:rFonts w:hint="eastAsia" w:hAnsi="仿宋_GB2312" w:cs="仿宋_GB2312"/>
                <w:szCs w:val="24"/>
              </w:rPr>
              <w:t>常住人口</w:t>
            </w:r>
          </w:p>
        </w:tc>
        <w:tc>
          <w:tcPr>
            <w:tcW w:w="1560" w:type="dxa"/>
            <w:vAlign w:val="center"/>
          </w:tcPr>
          <w:p w14:paraId="5ECB0C29">
            <w:pPr>
              <w:spacing w:before="0" w:beforeLines="0" w:after="0" w:afterLines="0" w:line="400" w:lineRule="exact"/>
              <w:jc w:val="center"/>
              <w:rPr>
                <w:rFonts w:hAnsi="仿宋_GB2312" w:cs="仿宋_GB2312"/>
                <w:szCs w:val="24"/>
              </w:rPr>
            </w:pPr>
            <w:r>
              <w:rPr>
                <w:rFonts w:hint="eastAsia" w:hAnsi="仿宋_GB2312" w:cs="仿宋_GB2312"/>
                <w:szCs w:val="24"/>
              </w:rPr>
              <w:t>--</w:t>
            </w:r>
          </w:p>
        </w:tc>
        <w:tc>
          <w:tcPr>
            <w:tcW w:w="1559" w:type="dxa"/>
            <w:vAlign w:val="center"/>
          </w:tcPr>
          <w:p w14:paraId="0723E7FB">
            <w:pPr>
              <w:spacing w:before="0" w:beforeLines="0" w:after="0" w:afterLines="0" w:line="400" w:lineRule="exact"/>
              <w:jc w:val="center"/>
              <w:rPr>
                <w:rFonts w:hAnsi="仿宋_GB2312" w:cs="仿宋_GB2312"/>
                <w:szCs w:val="24"/>
              </w:rPr>
            </w:pPr>
            <w:r>
              <w:rPr>
                <w:rFonts w:hint="eastAsia" w:hAnsi="仿宋_GB2312" w:cs="仿宋_GB2312"/>
                <w:szCs w:val="24"/>
              </w:rPr>
              <w:t>22.18</w:t>
            </w:r>
          </w:p>
        </w:tc>
        <w:tc>
          <w:tcPr>
            <w:tcW w:w="1559" w:type="dxa"/>
          </w:tcPr>
          <w:p w14:paraId="6912E764">
            <w:pPr>
              <w:spacing w:before="0" w:beforeLines="0" w:after="0" w:afterLines="0" w:line="400" w:lineRule="exact"/>
              <w:jc w:val="center"/>
              <w:rPr>
                <w:rFonts w:hAnsi="仿宋_GB2312" w:cs="仿宋_GB2312"/>
                <w:szCs w:val="24"/>
              </w:rPr>
            </w:pPr>
            <w:r>
              <w:rPr>
                <w:rFonts w:hint="eastAsia" w:hAnsi="仿宋_GB2312" w:cs="仿宋_GB2312"/>
                <w:szCs w:val="24"/>
              </w:rPr>
              <w:t>≤</w:t>
            </w:r>
            <w:r>
              <w:rPr>
                <w:rFonts w:hint="eastAsia" w:hAnsi="仿宋_GB2312" w:cs="仿宋_GB2312"/>
                <w:kern w:val="0"/>
                <w:szCs w:val="24"/>
              </w:rPr>
              <w:t>20</w:t>
            </w:r>
          </w:p>
        </w:tc>
        <w:tc>
          <w:tcPr>
            <w:tcW w:w="1317" w:type="dxa"/>
            <w:vAlign w:val="center"/>
          </w:tcPr>
          <w:p w14:paraId="0194A6A6">
            <w:pPr>
              <w:spacing w:before="0" w:beforeLines="0" w:after="0" w:afterLines="0" w:line="400" w:lineRule="exact"/>
              <w:jc w:val="center"/>
              <w:rPr>
                <w:rFonts w:hAnsi="仿宋_GB2312" w:cs="仿宋_GB2312"/>
                <w:szCs w:val="24"/>
              </w:rPr>
            </w:pPr>
            <w:r>
              <w:rPr>
                <w:rFonts w:hint="eastAsia" w:hAnsi="仿宋_GB2312" w:cs="仿宋_GB2312"/>
                <w:kern w:val="0"/>
                <w:szCs w:val="24"/>
              </w:rPr>
              <w:t>预期性</w:t>
            </w:r>
          </w:p>
        </w:tc>
      </w:tr>
      <w:tr w14:paraId="0731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8" w:type="dxa"/>
            <w:vMerge w:val="continue"/>
            <w:vAlign w:val="center"/>
          </w:tcPr>
          <w:p w14:paraId="4464E7A9">
            <w:pPr>
              <w:spacing w:before="0" w:beforeLines="0" w:after="0" w:afterLines="0" w:line="400" w:lineRule="exact"/>
              <w:jc w:val="center"/>
              <w:rPr>
                <w:rFonts w:hAnsi="仿宋_GB2312" w:cs="仿宋_GB2312"/>
                <w:b/>
                <w:szCs w:val="24"/>
              </w:rPr>
            </w:pPr>
          </w:p>
        </w:tc>
        <w:tc>
          <w:tcPr>
            <w:tcW w:w="709" w:type="dxa"/>
            <w:vAlign w:val="center"/>
          </w:tcPr>
          <w:p w14:paraId="424031DF">
            <w:pPr>
              <w:pStyle w:val="12"/>
              <w:spacing w:before="0" w:beforeLines="0" w:after="0" w:afterLines="0" w:line="400" w:lineRule="exact"/>
              <w:ind w:firstLine="0" w:firstLineChars="0"/>
              <w:jc w:val="center"/>
              <w:rPr>
                <w:rFonts w:hAnsi="仿宋_GB2312" w:cs="仿宋_GB2312"/>
                <w:szCs w:val="24"/>
              </w:rPr>
            </w:pPr>
            <w:r>
              <w:rPr>
                <w:rFonts w:hint="eastAsia" w:hAnsi="仿宋_GB2312" w:cs="仿宋_GB2312"/>
                <w:szCs w:val="24"/>
              </w:rPr>
              <w:t>14</w:t>
            </w:r>
          </w:p>
        </w:tc>
        <w:tc>
          <w:tcPr>
            <w:tcW w:w="4693" w:type="dxa"/>
            <w:vAlign w:val="center"/>
          </w:tcPr>
          <w:p w14:paraId="730D6E10">
            <w:pPr>
              <w:spacing w:before="0" w:beforeLines="0" w:after="0" w:afterLines="0" w:line="400" w:lineRule="exact"/>
              <w:rPr>
                <w:rFonts w:hAnsi="仿宋_GB2312" w:cs="仿宋_GB2312"/>
                <w:szCs w:val="24"/>
              </w:rPr>
            </w:pPr>
            <w:r>
              <w:rPr>
                <w:rFonts w:hint="eastAsia" w:hAnsi="仿宋_GB2312" w:cs="仿宋_GB2312"/>
                <w:szCs w:val="24"/>
              </w:rPr>
              <w:t>政府卫生支出占卫生总费用的比例（%）</w:t>
            </w:r>
          </w:p>
        </w:tc>
        <w:tc>
          <w:tcPr>
            <w:tcW w:w="1701" w:type="dxa"/>
            <w:vAlign w:val="center"/>
          </w:tcPr>
          <w:p w14:paraId="366ADC9E">
            <w:pPr>
              <w:spacing w:before="0" w:beforeLines="0" w:after="0" w:afterLines="0" w:line="400" w:lineRule="exact"/>
              <w:jc w:val="center"/>
              <w:rPr>
                <w:rFonts w:hAnsi="仿宋_GB2312" w:cs="仿宋_GB2312"/>
                <w:szCs w:val="24"/>
              </w:rPr>
            </w:pPr>
            <w:r>
              <w:rPr>
                <w:rFonts w:hint="eastAsia" w:hAnsi="仿宋_GB2312" w:cs="仿宋_GB2312"/>
                <w:szCs w:val="24"/>
              </w:rPr>
              <w:t>常住人口</w:t>
            </w:r>
          </w:p>
        </w:tc>
        <w:tc>
          <w:tcPr>
            <w:tcW w:w="1560" w:type="dxa"/>
            <w:vAlign w:val="center"/>
          </w:tcPr>
          <w:p w14:paraId="7E8CA897">
            <w:pPr>
              <w:spacing w:before="0" w:beforeLines="0" w:after="0" w:afterLines="0" w:line="400" w:lineRule="exact"/>
              <w:jc w:val="center"/>
              <w:rPr>
                <w:rFonts w:hAnsi="仿宋_GB2312" w:cs="仿宋_GB2312"/>
                <w:szCs w:val="24"/>
              </w:rPr>
            </w:pPr>
            <w:r>
              <w:rPr>
                <w:rFonts w:hint="eastAsia" w:hAnsi="仿宋_GB2312" w:cs="仿宋_GB2312"/>
                <w:bCs/>
                <w:szCs w:val="24"/>
              </w:rPr>
              <w:t>≥30</w:t>
            </w:r>
          </w:p>
        </w:tc>
        <w:tc>
          <w:tcPr>
            <w:tcW w:w="1559" w:type="dxa"/>
            <w:vAlign w:val="center"/>
          </w:tcPr>
          <w:p w14:paraId="7E5B8974">
            <w:pPr>
              <w:spacing w:before="0" w:beforeLines="0" w:after="0" w:afterLines="0" w:line="400" w:lineRule="exact"/>
              <w:jc w:val="center"/>
              <w:rPr>
                <w:rFonts w:hAnsi="仿宋_GB2312" w:cs="仿宋_GB2312"/>
                <w:szCs w:val="24"/>
              </w:rPr>
            </w:pPr>
            <w:r>
              <w:rPr>
                <w:rFonts w:hint="eastAsia" w:hAnsi="仿宋_GB2312" w:cs="仿宋_GB2312"/>
                <w:bCs/>
                <w:szCs w:val="24"/>
              </w:rPr>
              <w:t>≥30</w:t>
            </w:r>
          </w:p>
        </w:tc>
        <w:tc>
          <w:tcPr>
            <w:tcW w:w="1559" w:type="dxa"/>
          </w:tcPr>
          <w:p w14:paraId="25B52876">
            <w:pPr>
              <w:spacing w:before="0" w:beforeLines="0" w:after="0" w:afterLines="0" w:line="400" w:lineRule="exact"/>
              <w:jc w:val="center"/>
              <w:rPr>
                <w:rFonts w:hAnsi="仿宋_GB2312" w:cs="仿宋_GB2312"/>
                <w:szCs w:val="24"/>
              </w:rPr>
            </w:pPr>
            <w:r>
              <w:rPr>
                <w:rFonts w:hint="eastAsia" w:hAnsi="仿宋_GB2312" w:cs="仿宋_GB2312"/>
                <w:bCs/>
                <w:szCs w:val="24"/>
              </w:rPr>
              <w:t>≥30</w:t>
            </w:r>
          </w:p>
        </w:tc>
        <w:tc>
          <w:tcPr>
            <w:tcW w:w="1317" w:type="dxa"/>
            <w:vAlign w:val="center"/>
          </w:tcPr>
          <w:p w14:paraId="0AE54276">
            <w:pPr>
              <w:spacing w:before="0" w:beforeLines="0" w:after="0" w:afterLines="0" w:line="400" w:lineRule="exact"/>
              <w:jc w:val="center"/>
              <w:rPr>
                <w:rFonts w:hAnsi="仿宋_GB2312" w:cs="仿宋_GB2312"/>
                <w:szCs w:val="24"/>
              </w:rPr>
            </w:pPr>
            <w:r>
              <w:rPr>
                <w:rFonts w:hint="eastAsia" w:hAnsi="仿宋_GB2312" w:cs="仿宋_GB2312"/>
                <w:kern w:val="0"/>
                <w:szCs w:val="24"/>
              </w:rPr>
              <w:t>预期性</w:t>
            </w:r>
          </w:p>
        </w:tc>
      </w:tr>
      <w:tr w14:paraId="7D38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8" w:type="dxa"/>
            <w:vMerge w:val="restart"/>
            <w:vAlign w:val="center"/>
          </w:tcPr>
          <w:p w14:paraId="00776A3F">
            <w:pPr>
              <w:spacing w:before="0" w:beforeLines="0" w:after="0" w:afterLines="0" w:line="400" w:lineRule="exact"/>
              <w:jc w:val="center"/>
              <w:rPr>
                <w:rFonts w:hAnsi="仿宋_GB2312" w:cs="仿宋_GB2312"/>
                <w:b/>
                <w:szCs w:val="24"/>
              </w:rPr>
            </w:pPr>
            <w:r>
              <w:rPr>
                <w:rFonts w:hint="eastAsia" w:hAnsi="仿宋_GB2312" w:cs="仿宋_GB2312"/>
                <w:b/>
                <w:szCs w:val="24"/>
              </w:rPr>
              <w:t>妇幼</w:t>
            </w:r>
          </w:p>
          <w:p w14:paraId="695D2B1D">
            <w:pPr>
              <w:spacing w:before="0" w:beforeLines="0" w:after="0" w:afterLines="0" w:line="400" w:lineRule="exact"/>
              <w:jc w:val="center"/>
              <w:rPr>
                <w:rFonts w:hAnsi="仿宋_GB2312" w:cs="仿宋_GB2312"/>
                <w:b/>
                <w:szCs w:val="24"/>
              </w:rPr>
            </w:pPr>
            <w:r>
              <w:rPr>
                <w:rFonts w:hint="eastAsia" w:hAnsi="仿宋_GB2312" w:cs="仿宋_GB2312"/>
                <w:b/>
                <w:szCs w:val="24"/>
              </w:rPr>
              <w:t>卫生</w:t>
            </w:r>
          </w:p>
        </w:tc>
        <w:tc>
          <w:tcPr>
            <w:tcW w:w="709" w:type="dxa"/>
            <w:vAlign w:val="center"/>
          </w:tcPr>
          <w:p w14:paraId="0C112B7D">
            <w:pPr>
              <w:pStyle w:val="12"/>
              <w:spacing w:before="0" w:beforeLines="0" w:after="0" w:afterLines="0" w:line="400" w:lineRule="exact"/>
              <w:ind w:firstLine="0" w:firstLineChars="0"/>
              <w:jc w:val="center"/>
              <w:rPr>
                <w:rFonts w:hAnsi="仿宋_GB2312" w:cs="仿宋_GB2312"/>
                <w:szCs w:val="24"/>
              </w:rPr>
            </w:pPr>
            <w:r>
              <w:rPr>
                <w:rFonts w:hint="eastAsia" w:hAnsi="仿宋_GB2312" w:cs="仿宋_GB2312"/>
                <w:szCs w:val="24"/>
              </w:rPr>
              <w:t>15</w:t>
            </w:r>
          </w:p>
        </w:tc>
        <w:tc>
          <w:tcPr>
            <w:tcW w:w="4693" w:type="dxa"/>
            <w:vAlign w:val="center"/>
          </w:tcPr>
          <w:p w14:paraId="363AEDF5">
            <w:pPr>
              <w:spacing w:before="0" w:beforeLines="0" w:after="0" w:afterLines="0" w:line="240" w:lineRule="auto"/>
              <w:rPr>
                <w:rFonts w:hAnsi="仿宋_GB2312" w:cs="仿宋_GB2312"/>
                <w:szCs w:val="24"/>
              </w:rPr>
            </w:pPr>
            <w:r>
              <w:rPr>
                <w:rFonts w:hint="eastAsia" w:hAnsi="仿宋_GB2312" w:cs="仿宋_GB2312"/>
                <w:szCs w:val="24"/>
              </w:rPr>
              <w:t>孕产妇系统管理率（</w:t>
            </w:r>
            <w:r>
              <w:rPr>
                <w:rFonts w:hAnsi="仿宋_GB2312" w:cs="仿宋_GB2312"/>
                <w:szCs w:val="24"/>
              </w:rPr>
              <w:t>%）</w:t>
            </w:r>
          </w:p>
        </w:tc>
        <w:tc>
          <w:tcPr>
            <w:tcW w:w="1701" w:type="dxa"/>
            <w:vAlign w:val="center"/>
          </w:tcPr>
          <w:p w14:paraId="0CCCEFE9">
            <w:pPr>
              <w:spacing w:before="0" w:beforeLines="0" w:after="0" w:afterLines="0" w:line="240" w:lineRule="auto"/>
              <w:jc w:val="center"/>
              <w:rPr>
                <w:rFonts w:hAnsi="仿宋_GB2312" w:cs="仿宋_GB2312"/>
                <w:szCs w:val="24"/>
              </w:rPr>
            </w:pPr>
            <w:r>
              <w:rPr>
                <w:rFonts w:hint="eastAsia" w:hAnsi="仿宋_GB2312" w:cs="仿宋_GB2312"/>
                <w:szCs w:val="24"/>
              </w:rPr>
              <w:t>常住人口</w:t>
            </w:r>
          </w:p>
        </w:tc>
        <w:tc>
          <w:tcPr>
            <w:tcW w:w="1560" w:type="dxa"/>
            <w:vAlign w:val="center"/>
          </w:tcPr>
          <w:p w14:paraId="56F96D64">
            <w:pPr>
              <w:spacing w:before="100" w:beforeLines="0" w:beforeAutospacing="1" w:after="100" w:afterLines="0" w:afterAutospacing="1" w:line="240" w:lineRule="auto"/>
              <w:jc w:val="center"/>
              <w:rPr>
                <w:rFonts w:hAnsi="仿宋_GB2312" w:cs="仿宋_GB2312"/>
                <w:szCs w:val="24"/>
              </w:rPr>
            </w:pPr>
            <w:r>
              <w:rPr>
                <w:rFonts w:hAnsi="仿宋_GB2312" w:cs="仿宋_GB2312"/>
                <w:szCs w:val="24"/>
              </w:rPr>
              <w:t>89.</w:t>
            </w:r>
            <w:r>
              <w:rPr>
                <w:rFonts w:hint="eastAsia" w:hAnsi="仿宋_GB2312" w:cs="仿宋_GB2312"/>
                <w:szCs w:val="24"/>
              </w:rPr>
              <w:t>14</w:t>
            </w:r>
          </w:p>
        </w:tc>
        <w:tc>
          <w:tcPr>
            <w:tcW w:w="1559" w:type="dxa"/>
            <w:vAlign w:val="center"/>
          </w:tcPr>
          <w:p w14:paraId="0633C425">
            <w:pPr>
              <w:spacing w:before="100" w:beforeLines="0" w:beforeAutospacing="1" w:after="100" w:afterLines="0" w:afterAutospacing="1" w:line="240" w:lineRule="auto"/>
              <w:jc w:val="center"/>
              <w:rPr>
                <w:rFonts w:hAnsi="仿宋_GB2312" w:cs="仿宋_GB2312"/>
                <w:szCs w:val="24"/>
              </w:rPr>
            </w:pPr>
            <w:r>
              <w:rPr>
                <w:rFonts w:hint="eastAsia" w:hAnsi="仿宋_GB2312" w:cs="仿宋_GB2312"/>
                <w:szCs w:val="24"/>
              </w:rPr>
              <w:t>85</w:t>
            </w:r>
          </w:p>
        </w:tc>
        <w:tc>
          <w:tcPr>
            <w:tcW w:w="1559" w:type="dxa"/>
            <w:vAlign w:val="center"/>
          </w:tcPr>
          <w:p w14:paraId="3F63E4E8">
            <w:pPr>
              <w:spacing w:before="0" w:beforeLines="0" w:after="0" w:afterLines="0" w:line="240" w:lineRule="auto"/>
              <w:jc w:val="center"/>
              <w:rPr>
                <w:rFonts w:hAnsi="仿宋_GB2312" w:cs="仿宋_GB2312"/>
                <w:szCs w:val="24"/>
              </w:rPr>
            </w:pPr>
            <w:r>
              <w:rPr>
                <w:rFonts w:hint="eastAsia" w:hAnsi="仿宋_GB2312" w:cs="仿宋_GB2312"/>
                <w:szCs w:val="24"/>
              </w:rPr>
              <w:t>≥</w:t>
            </w:r>
            <w:r>
              <w:rPr>
                <w:rFonts w:hAnsi="仿宋_GB2312" w:cs="仿宋_GB2312"/>
                <w:szCs w:val="24"/>
              </w:rPr>
              <w:t>95</w:t>
            </w:r>
          </w:p>
        </w:tc>
        <w:tc>
          <w:tcPr>
            <w:tcW w:w="1317" w:type="dxa"/>
            <w:vAlign w:val="center"/>
          </w:tcPr>
          <w:p w14:paraId="17F6EB30">
            <w:pPr>
              <w:spacing w:before="0" w:beforeLines="0" w:after="0" w:afterLines="0" w:line="240" w:lineRule="auto"/>
              <w:jc w:val="center"/>
              <w:rPr>
                <w:rFonts w:hAnsi="仿宋_GB2312" w:cs="仿宋_GB2312"/>
                <w:szCs w:val="24"/>
              </w:rPr>
            </w:pPr>
            <w:r>
              <w:rPr>
                <w:rFonts w:hint="eastAsia" w:hAnsi="仿宋_GB2312" w:cs="仿宋_GB2312"/>
                <w:kern w:val="0"/>
                <w:szCs w:val="24"/>
              </w:rPr>
              <w:t>预期性</w:t>
            </w:r>
          </w:p>
        </w:tc>
      </w:tr>
      <w:tr w14:paraId="5320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8" w:type="dxa"/>
            <w:vMerge w:val="continue"/>
          </w:tcPr>
          <w:p w14:paraId="15D520B8">
            <w:pPr>
              <w:spacing w:before="0" w:beforeLines="0" w:after="0" w:afterLines="0" w:line="400" w:lineRule="exact"/>
              <w:rPr>
                <w:rFonts w:hAnsi="仿宋_GB2312" w:cs="仿宋_GB2312"/>
                <w:b/>
                <w:szCs w:val="24"/>
              </w:rPr>
            </w:pPr>
          </w:p>
        </w:tc>
        <w:tc>
          <w:tcPr>
            <w:tcW w:w="709" w:type="dxa"/>
            <w:vAlign w:val="center"/>
          </w:tcPr>
          <w:p w14:paraId="6BAD6507">
            <w:pPr>
              <w:pStyle w:val="12"/>
              <w:spacing w:before="0" w:beforeLines="0" w:after="0" w:afterLines="0" w:line="400" w:lineRule="exact"/>
              <w:ind w:firstLine="0" w:firstLineChars="0"/>
              <w:jc w:val="center"/>
              <w:rPr>
                <w:rFonts w:hAnsi="仿宋_GB2312" w:cs="仿宋_GB2312"/>
                <w:szCs w:val="24"/>
              </w:rPr>
            </w:pPr>
            <w:r>
              <w:rPr>
                <w:rFonts w:hint="eastAsia" w:hAnsi="仿宋_GB2312" w:cs="仿宋_GB2312"/>
                <w:szCs w:val="24"/>
              </w:rPr>
              <w:t>16</w:t>
            </w:r>
          </w:p>
        </w:tc>
        <w:tc>
          <w:tcPr>
            <w:tcW w:w="4693" w:type="dxa"/>
            <w:vAlign w:val="center"/>
          </w:tcPr>
          <w:p w14:paraId="02BF02E4">
            <w:pPr>
              <w:spacing w:before="0" w:beforeLines="0" w:after="0" w:afterLines="0" w:line="240" w:lineRule="auto"/>
              <w:rPr>
                <w:rFonts w:hAnsi="仿宋_GB2312" w:cs="仿宋_GB2312"/>
                <w:szCs w:val="24"/>
              </w:rPr>
            </w:pPr>
            <w:r>
              <w:rPr>
                <w:rFonts w:hAnsi="仿宋_GB2312" w:cs="仿宋_GB2312"/>
                <w:szCs w:val="24"/>
              </w:rPr>
              <w:t>3岁以下儿童系统管理率（%）</w:t>
            </w:r>
          </w:p>
        </w:tc>
        <w:tc>
          <w:tcPr>
            <w:tcW w:w="1701" w:type="dxa"/>
            <w:vAlign w:val="center"/>
          </w:tcPr>
          <w:p w14:paraId="2F201F36">
            <w:pPr>
              <w:spacing w:before="0" w:beforeLines="0" w:after="0" w:afterLines="0" w:line="240" w:lineRule="auto"/>
              <w:jc w:val="center"/>
              <w:rPr>
                <w:rFonts w:hAnsi="仿宋_GB2312" w:cs="仿宋_GB2312"/>
                <w:szCs w:val="24"/>
              </w:rPr>
            </w:pPr>
            <w:r>
              <w:rPr>
                <w:rFonts w:hint="eastAsia" w:hAnsi="仿宋_GB2312" w:cs="仿宋_GB2312"/>
                <w:szCs w:val="24"/>
              </w:rPr>
              <w:t>常住人口</w:t>
            </w:r>
          </w:p>
        </w:tc>
        <w:tc>
          <w:tcPr>
            <w:tcW w:w="1560" w:type="dxa"/>
            <w:vAlign w:val="center"/>
          </w:tcPr>
          <w:p w14:paraId="39CC4074">
            <w:pPr>
              <w:spacing w:before="100" w:beforeLines="0" w:beforeAutospacing="1" w:after="100" w:afterLines="0" w:afterAutospacing="1" w:line="240" w:lineRule="auto"/>
              <w:jc w:val="center"/>
              <w:rPr>
                <w:rFonts w:hAnsi="仿宋_GB2312" w:cs="仿宋_GB2312"/>
                <w:szCs w:val="24"/>
              </w:rPr>
            </w:pPr>
            <w:r>
              <w:rPr>
                <w:rFonts w:hAnsi="仿宋_GB2312" w:cs="仿宋_GB2312"/>
                <w:szCs w:val="24"/>
              </w:rPr>
              <w:t>90.</w:t>
            </w:r>
            <w:r>
              <w:rPr>
                <w:rFonts w:hint="eastAsia" w:hAnsi="仿宋_GB2312" w:cs="仿宋_GB2312"/>
                <w:szCs w:val="24"/>
              </w:rPr>
              <w:t>18</w:t>
            </w:r>
          </w:p>
        </w:tc>
        <w:tc>
          <w:tcPr>
            <w:tcW w:w="1559" w:type="dxa"/>
            <w:vAlign w:val="center"/>
          </w:tcPr>
          <w:p w14:paraId="4CF4AC86">
            <w:pPr>
              <w:spacing w:before="100" w:beforeLines="0" w:beforeAutospacing="1" w:after="100" w:afterLines="0" w:afterAutospacing="1" w:line="240" w:lineRule="auto"/>
              <w:jc w:val="center"/>
              <w:rPr>
                <w:rFonts w:hAnsi="仿宋_GB2312" w:cs="仿宋_GB2312"/>
                <w:szCs w:val="24"/>
              </w:rPr>
            </w:pPr>
            <w:r>
              <w:rPr>
                <w:rFonts w:hint="eastAsia" w:hAnsi="仿宋_GB2312" w:cs="仿宋_GB2312"/>
                <w:szCs w:val="24"/>
              </w:rPr>
              <w:t>80</w:t>
            </w:r>
          </w:p>
        </w:tc>
        <w:tc>
          <w:tcPr>
            <w:tcW w:w="1559" w:type="dxa"/>
            <w:vAlign w:val="center"/>
          </w:tcPr>
          <w:p w14:paraId="1DEBF42A">
            <w:pPr>
              <w:spacing w:before="0" w:beforeLines="0" w:after="0" w:afterLines="0" w:line="240" w:lineRule="auto"/>
              <w:jc w:val="center"/>
              <w:rPr>
                <w:rFonts w:hAnsi="仿宋_GB2312" w:cs="仿宋_GB2312"/>
                <w:szCs w:val="24"/>
              </w:rPr>
            </w:pPr>
            <w:r>
              <w:rPr>
                <w:rFonts w:hint="eastAsia" w:hAnsi="仿宋_GB2312" w:cs="仿宋_GB2312"/>
                <w:szCs w:val="24"/>
              </w:rPr>
              <w:t>≥92</w:t>
            </w:r>
          </w:p>
        </w:tc>
        <w:tc>
          <w:tcPr>
            <w:tcW w:w="1317" w:type="dxa"/>
            <w:vAlign w:val="center"/>
          </w:tcPr>
          <w:p w14:paraId="44700C12">
            <w:pPr>
              <w:spacing w:before="0" w:beforeLines="0" w:after="0" w:afterLines="0" w:line="240" w:lineRule="auto"/>
              <w:jc w:val="center"/>
              <w:rPr>
                <w:rFonts w:hAnsi="仿宋_GB2312" w:cs="仿宋_GB2312"/>
                <w:szCs w:val="24"/>
              </w:rPr>
            </w:pPr>
            <w:r>
              <w:rPr>
                <w:rFonts w:hint="eastAsia" w:hAnsi="仿宋_GB2312" w:cs="仿宋_GB2312"/>
                <w:szCs w:val="24"/>
              </w:rPr>
              <w:t>约束性</w:t>
            </w:r>
          </w:p>
        </w:tc>
      </w:tr>
      <w:tr w14:paraId="6BF1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8" w:type="dxa"/>
            <w:vMerge w:val="continue"/>
          </w:tcPr>
          <w:p w14:paraId="11152820">
            <w:pPr>
              <w:spacing w:before="0" w:beforeLines="0" w:after="0" w:afterLines="0" w:line="400" w:lineRule="exact"/>
              <w:rPr>
                <w:rFonts w:hAnsi="仿宋_GB2312" w:cs="仿宋_GB2312"/>
                <w:b/>
                <w:szCs w:val="24"/>
              </w:rPr>
            </w:pPr>
          </w:p>
        </w:tc>
        <w:tc>
          <w:tcPr>
            <w:tcW w:w="709" w:type="dxa"/>
            <w:vAlign w:val="center"/>
          </w:tcPr>
          <w:p w14:paraId="77116276">
            <w:pPr>
              <w:pStyle w:val="12"/>
              <w:spacing w:before="0" w:beforeLines="0" w:after="0" w:afterLines="0" w:line="400" w:lineRule="exact"/>
              <w:ind w:firstLine="0" w:firstLineChars="0"/>
              <w:jc w:val="center"/>
              <w:rPr>
                <w:rFonts w:hAnsi="仿宋_GB2312" w:cs="仿宋_GB2312"/>
                <w:szCs w:val="24"/>
              </w:rPr>
            </w:pPr>
            <w:r>
              <w:rPr>
                <w:rFonts w:hint="eastAsia" w:hAnsi="仿宋_GB2312" w:cs="仿宋_GB2312"/>
                <w:szCs w:val="24"/>
              </w:rPr>
              <w:t>17</w:t>
            </w:r>
          </w:p>
        </w:tc>
        <w:tc>
          <w:tcPr>
            <w:tcW w:w="4693" w:type="dxa"/>
            <w:vAlign w:val="center"/>
          </w:tcPr>
          <w:p w14:paraId="1168CB45">
            <w:pPr>
              <w:spacing w:before="0" w:beforeLines="0" w:after="0" w:afterLines="0" w:line="240" w:lineRule="auto"/>
              <w:rPr>
                <w:rFonts w:hAnsi="仿宋_GB2312" w:cs="仿宋_GB2312"/>
                <w:szCs w:val="24"/>
              </w:rPr>
            </w:pPr>
            <w:r>
              <w:rPr>
                <w:rFonts w:hint="eastAsia" w:hAnsi="仿宋_GB2312" w:cs="仿宋_GB2312"/>
                <w:szCs w:val="24"/>
              </w:rPr>
              <w:t>妇女病普查率（三年为一周期，</w:t>
            </w:r>
            <w:r>
              <w:rPr>
                <w:rFonts w:hAnsi="仿宋_GB2312" w:cs="仿宋_GB2312"/>
                <w:szCs w:val="24"/>
              </w:rPr>
              <w:t>%）</w:t>
            </w:r>
          </w:p>
        </w:tc>
        <w:tc>
          <w:tcPr>
            <w:tcW w:w="1701" w:type="dxa"/>
            <w:vAlign w:val="center"/>
          </w:tcPr>
          <w:p w14:paraId="3E0337F2">
            <w:pPr>
              <w:spacing w:before="0" w:beforeLines="0" w:after="0" w:afterLines="0" w:line="240" w:lineRule="auto"/>
              <w:jc w:val="center"/>
              <w:rPr>
                <w:rFonts w:hAnsi="仿宋_GB2312" w:cs="仿宋_GB2312"/>
                <w:szCs w:val="24"/>
              </w:rPr>
            </w:pPr>
            <w:r>
              <w:rPr>
                <w:rFonts w:hint="eastAsia" w:hAnsi="仿宋_GB2312" w:cs="仿宋_GB2312"/>
                <w:szCs w:val="24"/>
              </w:rPr>
              <w:t>常住人口</w:t>
            </w:r>
          </w:p>
        </w:tc>
        <w:tc>
          <w:tcPr>
            <w:tcW w:w="1560" w:type="dxa"/>
            <w:vAlign w:val="center"/>
          </w:tcPr>
          <w:p w14:paraId="4F37B4CC">
            <w:pPr>
              <w:spacing w:before="100" w:beforeLines="0" w:beforeAutospacing="1" w:after="100" w:afterLines="0" w:afterAutospacing="1" w:line="240" w:lineRule="auto"/>
              <w:jc w:val="center"/>
              <w:rPr>
                <w:rFonts w:hAnsi="仿宋_GB2312" w:cs="仿宋_GB2312"/>
                <w:szCs w:val="24"/>
              </w:rPr>
            </w:pPr>
            <w:r>
              <w:rPr>
                <w:rFonts w:hint="eastAsia" w:hAnsi="仿宋_GB2312" w:cs="仿宋_GB2312"/>
                <w:szCs w:val="24"/>
              </w:rPr>
              <w:t>88.39</w:t>
            </w:r>
          </w:p>
        </w:tc>
        <w:tc>
          <w:tcPr>
            <w:tcW w:w="1559" w:type="dxa"/>
            <w:vAlign w:val="center"/>
          </w:tcPr>
          <w:p w14:paraId="5E5FE408">
            <w:pPr>
              <w:spacing w:before="100" w:beforeLines="0" w:beforeAutospacing="1" w:after="100" w:afterLines="0" w:afterAutospacing="1" w:line="240" w:lineRule="auto"/>
              <w:jc w:val="center"/>
              <w:rPr>
                <w:rFonts w:hAnsi="仿宋_GB2312" w:cs="仿宋_GB2312"/>
                <w:szCs w:val="24"/>
              </w:rPr>
            </w:pPr>
            <w:r>
              <w:rPr>
                <w:rFonts w:hAnsi="仿宋_GB2312" w:cs="仿宋_GB2312"/>
                <w:szCs w:val="24"/>
              </w:rPr>
              <w:t>--</w:t>
            </w:r>
          </w:p>
        </w:tc>
        <w:tc>
          <w:tcPr>
            <w:tcW w:w="1559" w:type="dxa"/>
            <w:vAlign w:val="center"/>
          </w:tcPr>
          <w:p w14:paraId="41DC2CC0">
            <w:pPr>
              <w:spacing w:before="0" w:beforeLines="0" w:after="0" w:afterLines="0" w:line="240" w:lineRule="auto"/>
              <w:jc w:val="center"/>
              <w:rPr>
                <w:rFonts w:hAnsi="仿宋_GB2312" w:cs="仿宋_GB2312"/>
                <w:szCs w:val="24"/>
              </w:rPr>
            </w:pPr>
            <w:r>
              <w:rPr>
                <w:rFonts w:hint="eastAsia" w:hAnsi="仿宋_GB2312" w:cs="仿宋_GB2312"/>
                <w:szCs w:val="24"/>
              </w:rPr>
              <w:t>≥90</w:t>
            </w:r>
          </w:p>
        </w:tc>
        <w:tc>
          <w:tcPr>
            <w:tcW w:w="1317" w:type="dxa"/>
            <w:vAlign w:val="center"/>
          </w:tcPr>
          <w:p w14:paraId="569A5DF3">
            <w:pPr>
              <w:spacing w:before="0" w:beforeLines="0" w:after="0" w:afterLines="0" w:line="240" w:lineRule="auto"/>
              <w:jc w:val="center"/>
              <w:rPr>
                <w:rFonts w:hAnsi="仿宋_GB2312" w:cs="仿宋_GB2312"/>
                <w:szCs w:val="24"/>
              </w:rPr>
            </w:pPr>
            <w:r>
              <w:rPr>
                <w:rFonts w:hint="eastAsia" w:hAnsi="仿宋_GB2312" w:cs="仿宋_GB2312"/>
                <w:kern w:val="0"/>
                <w:szCs w:val="24"/>
              </w:rPr>
              <w:t>预期性</w:t>
            </w:r>
          </w:p>
        </w:tc>
      </w:tr>
      <w:tr w14:paraId="0B93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8" w:type="dxa"/>
            <w:vMerge w:val="restart"/>
            <w:vAlign w:val="center"/>
          </w:tcPr>
          <w:p w14:paraId="3C480646">
            <w:pPr>
              <w:spacing w:before="0" w:beforeLines="0" w:after="0" w:afterLines="0" w:line="400" w:lineRule="exact"/>
              <w:jc w:val="center"/>
              <w:rPr>
                <w:rFonts w:hAnsi="仿宋_GB2312" w:cs="仿宋_GB2312"/>
                <w:b/>
                <w:szCs w:val="24"/>
              </w:rPr>
            </w:pPr>
            <w:r>
              <w:rPr>
                <w:rFonts w:hint="eastAsia" w:hAnsi="仿宋_GB2312" w:cs="仿宋_GB2312"/>
                <w:b/>
                <w:szCs w:val="24"/>
              </w:rPr>
              <w:t>卫生</w:t>
            </w:r>
          </w:p>
          <w:p w14:paraId="66CFE197">
            <w:pPr>
              <w:spacing w:before="0" w:beforeLines="0" w:after="0" w:afterLines="0" w:line="400" w:lineRule="exact"/>
              <w:jc w:val="center"/>
              <w:rPr>
                <w:rFonts w:hAnsi="仿宋_GB2312" w:cs="仿宋_GB2312"/>
                <w:b/>
                <w:szCs w:val="24"/>
              </w:rPr>
            </w:pPr>
            <w:r>
              <w:rPr>
                <w:rFonts w:hint="eastAsia" w:hAnsi="仿宋_GB2312" w:cs="仿宋_GB2312"/>
                <w:b/>
                <w:szCs w:val="24"/>
              </w:rPr>
              <w:t>资源</w:t>
            </w:r>
          </w:p>
        </w:tc>
        <w:tc>
          <w:tcPr>
            <w:tcW w:w="709" w:type="dxa"/>
            <w:vAlign w:val="center"/>
          </w:tcPr>
          <w:p w14:paraId="5C40F998">
            <w:pPr>
              <w:pStyle w:val="12"/>
              <w:spacing w:before="0" w:beforeLines="0" w:after="0" w:afterLines="0" w:line="400" w:lineRule="exact"/>
              <w:ind w:firstLine="0" w:firstLineChars="0"/>
              <w:jc w:val="center"/>
              <w:rPr>
                <w:rFonts w:hAnsi="仿宋_GB2312" w:cs="仿宋_GB2312"/>
                <w:szCs w:val="24"/>
              </w:rPr>
            </w:pPr>
            <w:r>
              <w:rPr>
                <w:rFonts w:hint="eastAsia" w:hAnsi="仿宋_GB2312" w:cs="仿宋_GB2312"/>
                <w:szCs w:val="24"/>
              </w:rPr>
              <w:t>18</w:t>
            </w:r>
          </w:p>
        </w:tc>
        <w:tc>
          <w:tcPr>
            <w:tcW w:w="4693" w:type="dxa"/>
            <w:vAlign w:val="center"/>
          </w:tcPr>
          <w:p w14:paraId="3E068E02">
            <w:pPr>
              <w:spacing w:before="0" w:beforeLines="0" w:after="0" w:afterLines="0" w:line="400" w:lineRule="exact"/>
              <w:rPr>
                <w:rFonts w:hAnsi="仿宋_GB2312" w:cs="仿宋_GB2312"/>
                <w:szCs w:val="24"/>
              </w:rPr>
            </w:pPr>
            <w:r>
              <w:rPr>
                <w:rFonts w:hint="eastAsia" w:hAnsi="仿宋_GB2312" w:cs="仿宋_GB2312"/>
                <w:szCs w:val="24"/>
              </w:rPr>
              <w:t>区属医疗机构病床数（张）</w:t>
            </w:r>
          </w:p>
        </w:tc>
        <w:tc>
          <w:tcPr>
            <w:tcW w:w="1701" w:type="dxa"/>
            <w:vAlign w:val="center"/>
          </w:tcPr>
          <w:p w14:paraId="574A8D6E">
            <w:pPr>
              <w:spacing w:before="0" w:beforeLines="0" w:after="0" w:afterLines="0" w:line="400" w:lineRule="exact"/>
              <w:jc w:val="center"/>
              <w:rPr>
                <w:rFonts w:hAnsi="仿宋_GB2312" w:cs="仿宋_GB2312"/>
                <w:szCs w:val="24"/>
              </w:rPr>
            </w:pPr>
            <w:r>
              <w:rPr>
                <w:rFonts w:hint="eastAsia" w:hAnsi="仿宋_GB2312" w:cs="仿宋_GB2312"/>
                <w:szCs w:val="24"/>
              </w:rPr>
              <w:t>常住人口</w:t>
            </w:r>
          </w:p>
        </w:tc>
        <w:tc>
          <w:tcPr>
            <w:tcW w:w="1560" w:type="dxa"/>
            <w:vAlign w:val="center"/>
          </w:tcPr>
          <w:p w14:paraId="55C21988">
            <w:pPr>
              <w:spacing w:before="0" w:beforeLines="0" w:after="0" w:afterLines="0" w:line="400" w:lineRule="exact"/>
              <w:jc w:val="center"/>
              <w:rPr>
                <w:rFonts w:hAnsi="仿宋_GB2312" w:cs="仿宋_GB2312"/>
                <w:szCs w:val="24"/>
              </w:rPr>
            </w:pPr>
            <w:r>
              <w:rPr>
                <w:rFonts w:hint="eastAsia" w:hAnsi="仿宋_GB2312" w:cs="仿宋_GB2312"/>
                <w:szCs w:val="24"/>
              </w:rPr>
              <w:t>1371</w:t>
            </w:r>
          </w:p>
        </w:tc>
        <w:tc>
          <w:tcPr>
            <w:tcW w:w="1559" w:type="dxa"/>
            <w:vAlign w:val="center"/>
          </w:tcPr>
          <w:p w14:paraId="5CB7003B">
            <w:pPr>
              <w:spacing w:before="0" w:beforeLines="0" w:after="0" w:afterLines="0" w:line="400" w:lineRule="exact"/>
              <w:jc w:val="center"/>
              <w:rPr>
                <w:rFonts w:hAnsi="仿宋_GB2312" w:cs="仿宋_GB2312"/>
                <w:szCs w:val="24"/>
              </w:rPr>
            </w:pPr>
            <w:r>
              <w:rPr>
                <w:rFonts w:hint="eastAsia" w:hAnsi="仿宋_GB2312" w:cs="仿宋_GB2312"/>
                <w:szCs w:val="24"/>
              </w:rPr>
              <w:t>--</w:t>
            </w:r>
          </w:p>
        </w:tc>
        <w:tc>
          <w:tcPr>
            <w:tcW w:w="1559" w:type="dxa"/>
            <w:vAlign w:val="center"/>
          </w:tcPr>
          <w:p w14:paraId="61DD36BB">
            <w:pPr>
              <w:spacing w:before="0" w:beforeLines="0" w:after="0" w:afterLines="0" w:line="400" w:lineRule="exact"/>
              <w:jc w:val="center"/>
              <w:rPr>
                <w:rFonts w:hAnsi="仿宋_GB2312" w:cs="仿宋_GB2312"/>
                <w:szCs w:val="24"/>
              </w:rPr>
            </w:pPr>
            <w:r>
              <w:rPr>
                <w:rFonts w:hint="eastAsia" w:hAnsi="仿宋_GB2312" w:cs="仿宋_GB2312"/>
                <w:szCs w:val="24"/>
              </w:rPr>
              <w:t>2400-3000</w:t>
            </w:r>
          </w:p>
        </w:tc>
        <w:tc>
          <w:tcPr>
            <w:tcW w:w="1317" w:type="dxa"/>
            <w:vAlign w:val="center"/>
          </w:tcPr>
          <w:p w14:paraId="0B832B7E">
            <w:pPr>
              <w:spacing w:before="0" w:beforeLines="0" w:after="0" w:afterLines="0" w:line="400" w:lineRule="exact"/>
              <w:jc w:val="center"/>
              <w:rPr>
                <w:rFonts w:hAnsi="仿宋_GB2312" w:cs="仿宋_GB2312"/>
                <w:szCs w:val="24"/>
              </w:rPr>
            </w:pPr>
            <w:r>
              <w:rPr>
                <w:rFonts w:hint="eastAsia" w:hAnsi="仿宋_GB2312" w:cs="仿宋_GB2312"/>
                <w:szCs w:val="24"/>
              </w:rPr>
              <w:t>预期性</w:t>
            </w:r>
          </w:p>
        </w:tc>
      </w:tr>
      <w:tr w14:paraId="6AEA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8" w:type="dxa"/>
            <w:vMerge w:val="continue"/>
          </w:tcPr>
          <w:p w14:paraId="37C65183">
            <w:pPr>
              <w:spacing w:before="0" w:beforeLines="0" w:after="0" w:afterLines="0" w:line="400" w:lineRule="exact"/>
              <w:rPr>
                <w:rFonts w:hAnsi="仿宋_GB2312" w:cs="仿宋_GB2312"/>
                <w:b/>
                <w:szCs w:val="24"/>
              </w:rPr>
            </w:pPr>
          </w:p>
        </w:tc>
        <w:tc>
          <w:tcPr>
            <w:tcW w:w="709" w:type="dxa"/>
            <w:vAlign w:val="center"/>
          </w:tcPr>
          <w:p w14:paraId="71D56BEE">
            <w:pPr>
              <w:pStyle w:val="12"/>
              <w:spacing w:before="0" w:beforeLines="0" w:after="0" w:afterLines="0" w:line="400" w:lineRule="exact"/>
              <w:ind w:firstLine="0" w:firstLineChars="0"/>
              <w:jc w:val="center"/>
              <w:rPr>
                <w:rFonts w:hAnsi="仿宋_GB2312" w:cs="仿宋_GB2312"/>
                <w:szCs w:val="24"/>
              </w:rPr>
            </w:pPr>
            <w:r>
              <w:rPr>
                <w:rFonts w:hint="eastAsia" w:hAnsi="仿宋_GB2312" w:cs="仿宋_GB2312"/>
                <w:szCs w:val="24"/>
              </w:rPr>
              <w:t>19</w:t>
            </w:r>
          </w:p>
        </w:tc>
        <w:tc>
          <w:tcPr>
            <w:tcW w:w="4693" w:type="dxa"/>
            <w:vAlign w:val="center"/>
          </w:tcPr>
          <w:p w14:paraId="428AAA6B">
            <w:pPr>
              <w:spacing w:before="0" w:beforeLines="0" w:after="0" w:afterLines="0" w:line="400" w:lineRule="exact"/>
              <w:rPr>
                <w:rFonts w:hAnsi="仿宋_GB2312" w:cs="仿宋_GB2312"/>
                <w:szCs w:val="24"/>
              </w:rPr>
            </w:pPr>
            <w:r>
              <w:rPr>
                <w:rFonts w:hint="eastAsia" w:hAnsi="仿宋_GB2312" w:cs="仿宋_GB2312"/>
                <w:szCs w:val="24"/>
              </w:rPr>
              <w:t>区属医疗机构执业医师数（人）</w:t>
            </w:r>
          </w:p>
        </w:tc>
        <w:tc>
          <w:tcPr>
            <w:tcW w:w="1701" w:type="dxa"/>
            <w:vAlign w:val="center"/>
          </w:tcPr>
          <w:p w14:paraId="6F986456">
            <w:pPr>
              <w:spacing w:before="0" w:beforeLines="0" w:after="0" w:afterLines="0" w:line="400" w:lineRule="exact"/>
              <w:jc w:val="center"/>
              <w:rPr>
                <w:rFonts w:hAnsi="仿宋_GB2312" w:cs="仿宋_GB2312"/>
                <w:szCs w:val="24"/>
              </w:rPr>
            </w:pPr>
            <w:r>
              <w:rPr>
                <w:rFonts w:hint="eastAsia" w:hAnsi="仿宋_GB2312" w:cs="仿宋_GB2312"/>
                <w:szCs w:val="24"/>
              </w:rPr>
              <w:t>常住人口</w:t>
            </w:r>
          </w:p>
        </w:tc>
        <w:tc>
          <w:tcPr>
            <w:tcW w:w="1560" w:type="dxa"/>
            <w:vAlign w:val="center"/>
          </w:tcPr>
          <w:p w14:paraId="3A140DC8">
            <w:pPr>
              <w:spacing w:before="0" w:beforeLines="0" w:after="0" w:afterLines="0" w:line="400" w:lineRule="exact"/>
              <w:jc w:val="center"/>
              <w:rPr>
                <w:rFonts w:hAnsi="仿宋_GB2312" w:cs="仿宋_GB2312"/>
                <w:szCs w:val="24"/>
              </w:rPr>
            </w:pPr>
            <w:r>
              <w:rPr>
                <w:rFonts w:hint="eastAsia" w:hAnsi="仿宋_GB2312" w:cs="仿宋_GB2312"/>
                <w:szCs w:val="24"/>
              </w:rPr>
              <w:t>1141</w:t>
            </w:r>
          </w:p>
        </w:tc>
        <w:tc>
          <w:tcPr>
            <w:tcW w:w="1559" w:type="dxa"/>
            <w:vAlign w:val="center"/>
          </w:tcPr>
          <w:p w14:paraId="14563A8C">
            <w:pPr>
              <w:spacing w:before="0" w:beforeLines="0" w:after="0" w:afterLines="0" w:line="400" w:lineRule="exact"/>
              <w:jc w:val="center"/>
              <w:rPr>
                <w:rFonts w:hAnsi="仿宋_GB2312" w:cs="仿宋_GB2312"/>
                <w:szCs w:val="24"/>
              </w:rPr>
            </w:pPr>
            <w:r>
              <w:rPr>
                <w:rFonts w:hint="eastAsia" w:hAnsi="仿宋_GB2312" w:cs="仿宋_GB2312"/>
                <w:szCs w:val="24"/>
              </w:rPr>
              <w:t>--</w:t>
            </w:r>
          </w:p>
        </w:tc>
        <w:tc>
          <w:tcPr>
            <w:tcW w:w="1559" w:type="dxa"/>
            <w:vAlign w:val="center"/>
          </w:tcPr>
          <w:p w14:paraId="70435344">
            <w:pPr>
              <w:spacing w:before="0" w:beforeLines="0" w:after="0" w:afterLines="0" w:line="400" w:lineRule="exact"/>
              <w:jc w:val="center"/>
              <w:rPr>
                <w:rFonts w:hAnsi="仿宋_GB2312" w:cs="仿宋_GB2312"/>
                <w:szCs w:val="24"/>
              </w:rPr>
            </w:pPr>
            <w:r>
              <w:rPr>
                <w:rFonts w:hint="eastAsia" w:hAnsi="仿宋_GB2312" w:cs="仿宋_GB2312"/>
                <w:szCs w:val="24"/>
              </w:rPr>
              <w:t>1400-1550</w:t>
            </w:r>
          </w:p>
        </w:tc>
        <w:tc>
          <w:tcPr>
            <w:tcW w:w="1317" w:type="dxa"/>
            <w:vAlign w:val="center"/>
          </w:tcPr>
          <w:p w14:paraId="28CF7222">
            <w:pPr>
              <w:spacing w:before="0" w:beforeLines="0" w:after="0" w:afterLines="0" w:line="400" w:lineRule="exact"/>
              <w:jc w:val="center"/>
              <w:rPr>
                <w:rFonts w:hAnsi="仿宋_GB2312" w:cs="仿宋_GB2312"/>
                <w:szCs w:val="24"/>
              </w:rPr>
            </w:pPr>
            <w:r>
              <w:rPr>
                <w:rFonts w:hint="eastAsia" w:hAnsi="仿宋_GB2312" w:cs="仿宋_GB2312"/>
                <w:szCs w:val="24"/>
              </w:rPr>
              <w:t>预期性</w:t>
            </w:r>
          </w:p>
        </w:tc>
      </w:tr>
      <w:tr w14:paraId="0E8E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8" w:type="dxa"/>
            <w:vMerge w:val="continue"/>
          </w:tcPr>
          <w:p w14:paraId="115AA719">
            <w:pPr>
              <w:spacing w:before="0" w:beforeLines="0" w:after="0" w:afterLines="0" w:line="400" w:lineRule="exact"/>
              <w:rPr>
                <w:rFonts w:hAnsi="仿宋_GB2312" w:cs="仿宋_GB2312"/>
                <w:b/>
                <w:szCs w:val="24"/>
              </w:rPr>
            </w:pPr>
          </w:p>
        </w:tc>
        <w:tc>
          <w:tcPr>
            <w:tcW w:w="709" w:type="dxa"/>
            <w:vAlign w:val="center"/>
          </w:tcPr>
          <w:p w14:paraId="49AACDE2">
            <w:pPr>
              <w:pStyle w:val="12"/>
              <w:spacing w:before="0" w:beforeLines="0" w:after="0" w:afterLines="0" w:line="400" w:lineRule="exact"/>
              <w:ind w:firstLine="0" w:firstLineChars="0"/>
              <w:jc w:val="center"/>
              <w:rPr>
                <w:rFonts w:hAnsi="仿宋_GB2312" w:cs="仿宋_GB2312"/>
                <w:szCs w:val="24"/>
              </w:rPr>
            </w:pPr>
            <w:r>
              <w:rPr>
                <w:rFonts w:hint="eastAsia" w:hAnsi="仿宋_GB2312" w:cs="仿宋_GB2312"/>
                <w:szCs w:val="24"/>
              </w:rPr>
              <w:t>20</w:t>
            </w:r>
          </w:p>
        </w:tc>
        <w:tc>
          <w:tcPr>
            <w:tcW w:w="4693" w:type="dxa"/>
            <w:vAlign w:val="center"/>
          </w:tcPr>
          <w:p w14:paraId="58CE75F7">
            <w:pPr>
              <w:spacing w:before="0" w:beforeLines="0" w:after="0" w:afterLines="0" w:line="400" w:lineRule="exact"/>
              <w:rPr>
                <w:rFonts w:hAnsi="仿宋_GB2312" w:cs="仿宋_GB2312"/>
                <w:szCs w:val="24"/>
              </w:rPr>
            </w:pPr>
            <w:r>
              <w:rPr>
                <w:rFonts w:hint="eastAsia" w:hAnsi="仿宋_GB2312" w:cs="仿宋_GB2312"/>
                <w:szCs w:val="24"/>
              </w:rPr>
              <w:t>区属医疗机构注册护士数（人）</w:t>
            </w:r>
          </w:p>
        </w:tc>
        <w:tc>
          <w:tcPr>
            <w:tcW w:w="1701" w:type="dxa"/>
            <w:vAlign w:val="center"/>
          </w:tcPr>
          <w:p w14:paraId="409FB943">
            <w:pPr>
              <w:spacing w:before="0" w:beforeLines="0" w:after="0" w:afterLines="0" w:line="400" w:lineRule="exact"/>
              <w:jc w:val="center"/>
              <w:rPr>
                <w:rFonts w:hAnsi="仿宋_GB2312" w:cs="仿宋_GB2312"/>
                <w:szCs w:val="24"/>
              </w:rPr>
            </w:pPr>
            <w:r>
              <w:rPr>
                <w:rFonts w:hint="eastAsia" w:hAnsi="仿宋_GB2312" w:cs="仿宋_GB2312"/>
                <w:szCs w:val="24"/>
              </w:rPr>
              <w:t>常住人口</w:t>
            </w:r>
          </w:p>
        </w:tc>
        <w:tc>
          <w:tcPr>
            <w:tcW w:w="1560" w:type="dxa"/>
            <w:vAlign w:val="center"/>
          </w:tcPr>
          <w:p w14:paraId="3C5FEB12">
            <w:pPr>
              <w:spacing w:before="0" w:beforeLines="0" w:after="0" w:afterLines="0" w:line="400" w:lineRule="exact"/>
              <w:jc w:val="center"/>
              <w:rPr>
                <w:rFonts w:hAnsi="仿宋_GB2312" w:cs="仿宋_GB2312"/>
                <w:szCs w:val="24"/>
              </w:rPr>
            </w:pPr>
            <w:r>
              <w:rPr>
                <w:rFonts w:hint="eastAsia" w:hAnsi="仿宋_GB2312" w:cs="仿宋_GB2312"/>
                <w:szCs w:val="24"/>
              </w:rPr>
              <w:t>1317</w:t>
            </w:r>
          </w:p>
        </w:tc>
        <w:tc>
          <w:tcPr>
            <w:tcW w:w="1559" w:type="dxa"/>
            <w:vAlign w:val="center"/>
          </w:tcPr>
          <w:p w14:paraId="1EC13EB3">
            <w:pPr>
              <w:spacing w:before="0" w:beforeLines="0" w:after="0" w:afterLines="0" w:line="400" w:lineRule="exact"/>
              <w:jc w:val="center"/>
              <w:rPr>
                <w:rFonts w:hAnsi="仿宋_GB2312" w:cs="仿宋_GB2312"/>
                <w:szCs w:val="24"/>
              </w:rPr>
            </w:pPr>
            <w:r>
              <w:rPr>
                <w:rFonts w:hint="eastAsia" w:hAnsi="仿宋_GB2312" w:cs="仿宋_GB2312"/>
                <w:szCs w:val="24"/>
              </w:rPr>
              <w:t>--</w:t>
            </w:r>
          </w:p>
        </w:tc>
        <w:tc>
          <w:tcPr>
            <w:tcW w:w="1559" w:type="dxa"/>
            <w:vAlign w:val="center"/>
          </w:tcPr>
          <w:p w14:paraId="333CB233">
            <w:pPr>
              <w:spacing w:before="0" w:beforeLines="0" w:after="0" w:afterLines="0" w:line="400" w:lineRule="exact"/>
              <w:jc w:val="center"/>
              <w:rPr>
                <w:rFonts w:hAnsi="仿宋_GB2312" w:cs="仿宋_GB2312"/>
                <w:szCs w:val="24"/>
              </w:rPr>
            </w:pPr>
            <w:r>
              <w:rPr>
                <w:rFonts w:hint="eastAsia" w:hAnsi="仿宋_GB2312" w:cs="仿宋_GB2312"/>
                <w:szCs w:val="24"/>
              </w:rPr>
              <w:t>1500-1700</w:t>
            </w:r>
          </w:p>
        </w:tc>
        <w:tc>
          <w:tcPr>
            <w:tcW w:w="1317" w:type="dxa"/>
            <w:vAlign w:val="center"/>
          </w:tcPr>
          <w:p w14:paraId="0181EA5D">
            <w:pPr>
              <w:spacing w:before="0" w:beforeLines="0" w:after="0" w:afterLines="0" w:line="400" w:lineRule="exact"/>
              <w:jc w:val="center"/>
              <w:rPr>
                <w:rFonts w:hAnsi="仿宋_GB2312" w:cs="仿宋_GB2312"/>
                <w:szCs w:val="24"/>
              </w:rPr>
            </w:pPr>
            <w:r>
              <w:rPr>
                <w:rFonts w:hint="eastAsia" w:hAnsi="仿宋_GB2312" w:cs="仿宋_GB2312"/>
                <w:szCs w:val="24"/>
              </w:rPr>
              <w:t>预期性</w:t>
            </w:r>
          </w:p>
        </w:tc>
      </w:tr>
      <w:tr w14:paraId="1486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8" w:type="dxa"/>
            <w:vMerge w:val="continue"/>
          </w:tcPr>
          <w:p w14:paraId="0684BD22">
            <w:pPr>
              <w:spacing w:before="0" w:beforeLines="0" w:after="0" w:afterLines="0" w:line="400" w:lineRule="exact"/>
              <w:rPr>
                <w:rFonts w:hAnsi="仿宋_GB2312" w:cs="仿宋_GB2312"/>
                <w:b/>
                <w:szCs w:val="24"/>
              </w:rPr>
            </w:pPr>
          </w:p>
        </w:tc>
        <w:tc>
          <w:tcPr>
            <w:tcW w:w="709" w:type="dxa"/>
            <w:vAlign w:val="center"/>
          </w:tcPr>
          <w:p w14:paraId="07D9E7F5">
            <w:pPr>
              <w:pStyle w:val="12"/>
              <w:spacing w:before="0" w:beforeLines="0" w:after="0" w:afterLines="0" w:line="400" w:lineRule="exact"/>
              <w:ind w:firstLine="0" w:firstLineChars="0"/>
              <w:jc w:val="center"/>
              <w:rPr>
                <w:rFonts w:hAnsi="仿宋_GB2312" w:cs="仿宋_GB2312"/>
                <w:szCs w:val="24"/>
              </w:rPr>
            </w:pPr>
            <w:r>
              <w:rPr>
                <w:rFonts w:hint="eastAsia" w:hAnsi="仿宋_GB2312" w:cs="仿宋_GB2312"/>
                <w:szCs w:val="24"/>
              </w:rPr>
              <w:t>21</w:t>
            </w:r>
          </w:p>
        </w:tc>
        <w:tc>
          <w:tcPr>
            <w:tcW w:w="4693" w:type="dxa"/>
            <w:vAlign w:val="center"/>
          </w:tcPr>
          <w:p w14:paraId="0C0A5974">
            <w:pPr>
              <w:spacing w:before="0" w:beforeLines="0" w:after="0" w:afterLines="0" w:line="400" w:lineRule="exact"/>
              <w:rPr>
                <w:rFonts w:hAnsi="仿宋_GB2312" w:cs="仿宋_GB2312"/>
                <w:szCs w:val="24"/>
              </w:rPr>
            </w:pPr>
            <w:r>
              <w:rPr>
                <w:rFonts w:hint="eastAsia" w:hAnsi="仿宋_GB2312" w:cs="仿宋_GB2312"/>
                <w:szCs w:val="24"/>
              </w:rPr>
              <w:t>每万人口全科医生数（人）</w:t>
            </w:r>
          </w:p>
        </w:tc>
        <w:tc>
          <w:tcPr>
            <w:tcW w:w="1701" w:type="dxa"/>
            <w:vAlign w:val="center"/>
          </w:tcPr>
          <w:p w14:paraId="68D22A19">
            <w:pPr>
              <w:spacing w:before="0" w:beforeLines="0" w:after="0" w:afterLines="0" w:line="400" w:lineRule="exact"/>
              <w:jc w:val="center"/>
              <w:rPr>
                <w:rFonts w:hAnsi="仿宋_GB2312" w:cs="仿宋_GB2312"/>
                <w:szCs w:val="24"/>
              </w:rPr>
            </w:pPr>
            <w:r>
              <w:rPr>
                <w:rFonts w:hint="eastAsia" w:hAnsi="仿宋_GB2312" w:cs="仿宋_GB2312"/>
                <w:szCs w:val="24"/>
              </w:rPr>
              <w:t>常住人口</w:t>
            </w:r>
          </w:p>
        </w:tc>
        <w:tc>
          <w:tcPr>
            <w:tcW w:w="1560" w:type="dxa"/>
            <w:vAlign w:val="center"/>
          </w:tcPr>
          <w:p w14:paraId="195E6323">
            <w:pPr>
              <w:spacing w:before="0" w:beforeLines="0" w:after="0" w:afterLines="0" w:line="400" w:lineRule="exact"/>
              <w:jc w:val="center"/>
              <w:rPr>
                <w:rFonts w:hAnsi="仿宋_GB2312" w:cs="仿宋_GB2312"/>
                <w:szCs w:val="24"/>
              </w:rPr>
            </w:pPr>
            <w:r>
              <w:rPr>
                <w:rFonts w:hint="eastAsia" w:hAnsi="仿宋_GB2312" w:cs="仿宋_GB2312"/>
                <w:szCs w:val="24"/>
              </w:rPr>
              <w:t>2.23</w:t>
            </w:r>
          </w:p>
        </w:tc>
        <w:tc>
          <w:tcPr>
            <w:tcW w:w="1559" w:type="dxa"/>
            <w:vAlign w:val="center"/>
          </w:tcPr>
          <w:p w14:paraId="6F1AA5C2">
            <w:pPr>
              <w:spacing w:before="0" w:beforeLines="0" w:after="0" w:afterLines="0" w:line="400" w:lineRule="exact"/>
              <w:jc w:val="center"/>
              <w:rPr>
                <w:rFonts w:hAnsi="仿宋_GB2312" w:cs="仿宋_GB2312"/>
                <w:szCs w:val="24"/>
              </w:rPr>
            </w:pPr>
            <w:r>
              <w:rPr>
                <w:rFonts w:hint="eastAsia" w:hAnsi="仿宋_GB2312" w:cs="仿宋_GB2312"/>
                <w:szCs w:val="24"/>
              </w:rPr>
              <w:t>3</w:t>
            </w:r>
          </w:p>
        </w:tc>
        <w:tc>
          <w:tcPr>
            <w:tcW w:w="1559" w:type="dxa"/>
            <w:vAlign w:val="center"/>
          </w:tcPr>
          <w:p w14:paraId="39595275">
            <w:pPr>
              <w:spacing w:before="0" w:beforeLines="0" w:after="0" w:afterLines="0" w:line="400" w:lineRule="exact"/>
              <w:jc w:val="center"/>
              <w:rPr>
                <w:rFonts w:hAnsi="仿宋_GB2312" w:cs="仿宋_GB2312"/>
                <w:szCs w:val="24"/>
              </w:rPr>
            </w:pPr>
            <w:r>
              <w:rPr>
                <w:rFonts w:hint="eastAsia" w:hAnsi="仿宋_GB2312" w:cs="仿宋_GB2312"/>
                <w:szCs w:val="24"/>
              </w:rPr>
              <w:t>3.24</w:t>
            </w:r>
          </w:p>
        </w:tc>
        <w:tc>
          <w:tcPr>
            <w:tcW w:w="1317" w:type="dxa"/>
            <w:vAlign w:val="center"/>
          </w:tcPr>
          <w:p w14:paraId="4FB4608A">
            <w:pPr>
              <w:spacing w:before="0" w:beforeLines="0" w:after="0" w:afterLines="0" w:line="400" w:lineRule="exact"/>
              <w:jc w:val="center"/>
              <w:rPr>
                <w:rFonts w:hAnsi="仿宋_GB2312" w:cs="仿宋_GB2312"/>
                <w:szCs w:val="24"/>
              </w:rPr>
            </w:pPr>
            <w:r>
              <w:rPr>
                <w:rFonts w:hint="eastAsia" w:hAnsi="仿宋_GB2312" w:cs="仿宋_GB2312"/>
                <w:szCs w:val="24"/>
              </w:rPr>
              <w:t>约束性</w:t>
            </w:r>
          </w:p>
        </w:tc>
      </w:tr>
      <w:tr w14:paraId="62BF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8" w:type="dxa"/>
            <w:vMerge w:val="continue"/>
          </w:tcPr>
          <w:p w14:paraId="4A82650B">
            <w:pPr>
              <w:spacing w:before="0" w:beforeLines="0" w:after="0" w:afterLines="0" w:line="400" w:lineRule="exact"/>
              <w:rPr>
                <w:rFonts w:hAnsi="仿宋_GB2312" w:cs="仿宋_GB2312"/>
                <w:b/>
                <w:szCs w:val="24"/>
              </w:rPr>
            </w:pPr>
          </w:p>
        </w:tc>
        <w:tc>
          <w:tcPr>
            <w:tcW w:w="709" w:type="dxa"/>
            <w:vAlign w:val="center"/>
          </w:tcPr>
          <w:p w14:paraId="7D237377">
            <w:pPr>
              <w:pStyle w:val="12"/>
              <w:spacing w:before="0" w:beforeLines="0" w:after="0" w:afterLines="0" w:line="400" w:lineRule="exact"/>
              <w:ind w:firstLine="0" w:firstLineChars="0"/>
              <w:jc w:val="center"/>
              <w:rPr>
                <w:rFonts w:hAnsi="仿宋_GB2312" w:cs="仿宋_GB2312"/>
                <w:szCs w:val="24"/>
              </w:rPr>
            </w:pPr>
            <w:r>
              <w:rPr>
                <w:rFonts w:hint="eastAsia" w:hAnsi="仿宋_GB2312" w:cs="仿宋_GB2312"/>
                <w:szCs w:val="24"/>
              </w:rPr>
              <w:t>22</w:t>
            </w:r>
          </w:p>
        </w:tc>
        <w:tc>
          <w:tcPr>
            <w:tcW w:w="4693" w:type="dxa"/>
            <w:vAlign w:val="center"/>
          </w:tcPr>
          <w:p w14:paraId="57DBE450">
            <w:pPr>
              <w:spacing w:before="0" w:beforeLines="0" w:after="0" w:afterLines="0" w:line="400" w:lineRule="exact"/>
              <w:rPr>
                <w:rFonts w:hAnsi="仿宋_GB2312" w:cs="仿宋_GB2312"/>
                <w:szCs w:val="24"/>
              </w:rPr>
            </w:pPr>
            <w:r>
              <w:rPr>
                <w:rFonts w:hint="eastAsia" w:hAnsi="仿宋_GB2312" w:cs="仿宋_GB2312"/>
                <w:szCs w:val="24"/>
              </w:rPr>
              <w:t>每千人口公共卫生专业人员数（人）</w:t>
            </w:r>
          </w:p>
        </w:tc>
        <w:tc>
          <w:tcPr>
            <w:tcW w:w="1701" w:type="dxa"/>
            <w:vAlign w:val="center"/>
          </w:tcPr>
          <w:p w14:paraId="55BF39A7">
            <w:pPr>
              <w:spacing w:before="0" w:beforeLines="0" w:after="0" w:afterLines="0" w:line="400" w:lineRule="exact"/>
              <w:jc w:val="center"/>
              <w:rPr>
                <w:rFonts w:hAnsi="仿宋_GB2312" w:cs="仿宋_GB2312"/>
                <w:szCs w:val="24"/>
              </w:rPr>
            </w:pPr>
            <w:r>
              <w:rPr>
                <w:rFonts w:hint="eastAsia" w:hAnsi="仿宋_GB2312" w:cs="仿宋_GB2312"/>
                <w:szCs w:val="24"/>
              </w:rPr>
              <w:t>常住人口</w:t>
            </w:r>
          </w:p>
        </w:tc>
        <w:tc>
          <w:tcPr>
            <w:tcW w:w="1560" w:type="dxa"/>
            <w:vAlign w:val="center"/>
          </w:tcPr>
          <w:p w14:paraId="2168E914">
            <w:pPr>
              <w:spacing w:before="0" w:beforeLines="0" w:after="0" w:afterLines="0" w:line="400" w:lineRule="exact"/>
              <w:jc w:val="center"/>
              <w:rPr>
                <w:rFonts w:hAnsi="仿宋_GB2312" w:cs="仿宋_GB2312"/>
                <w:szCs w:val="24"/>
              </w:rPr>
            </w:pPr>
            <w:r>
              <w:rPr>
                <w:rFonts w:hint="eastAsia" w:hAnsi="仿宋_GB2312" w:cs="仿宋_GB2312"/>
                <w:szCs w:val="24"/>
              </w:rPr>
              <w:t>--</w:t>
            </w:r>
          </w:p>
        </w:tc>
        <w:tc>
          <w:tcPr>
            <w:tcW w:w="1559" w:type="dxa"/>
            <w:vAlign w:val="center"/>
          </w:tcPr>
          <w:p w14:paraId="2A4301DA">
            <w:pPr>
              <w:spacing w:before="0" w:beforeLines="0" w:after="0" w:afterLines="0" w:line="400" w:lineRule="exact"/>
              <w:jc w:val="center"/>
              <w:rPr>
                <w:rFonts w:hAnsi="仿宋_GB2312" w:cs="仿宋_GB2312"/>
                <w:szCs w:val="24"/>
              </w:rPr>
            </w:pPr>
            <w:r>
              <w:rPr>
                <w:rFonts w:hint="eastAsia" w:hAnsi="仿宋_GB2312" w:cs="仿宋_GB2312"/>
                <w:szCs w:val="24"/>
              </w:rPr>
              <w:t>0.94</w:t>
            </w:r>
          </w:p>
        </w:tc>
        <w:tc>
          <w:tcPr>
            <w:tcW w:w="1559" w:type="dxa"/>
            <w:vAlign w:val="center"/>
          </w:tcPr>
          <w:p w14:paraId="61897285">
            <w:pPr>
              <w:spacing w:before="0" w:beforeLines="0" w:after="0" w:afterLines="0" w:line="400" w:lineRule="exact"/>
              <w:jc w:val="center"/>
              <w:rPr>
                <w:rFonts w:hAnsi="仿宋_GB2312" w:cs="仿宋_GB2312"/>
                <w:szCs w:val="24"/>
              </w:rPr>
            </w:pPr>
            <w:r>
              <w:rPr>
                <w:rFonts w:hint="eastAsia" w:hAnsi="仿宋_GB2312" w:cs="仿宋_GB2312"/>
                <w:szCs w:val="24"/>
              </w:rPr>
              <w:t>0.97</w:t>
            </w:r>
          </w:p>
        </w:tc>
        <w:tc>
          <w:tcPr>
            <w:tcW w:w="1317" w:type="dxa"/>
            <w:vAlign w:val="center"/>
          </w:tcPr>
          <w:p w14:paraId="71C4FC61">
            <w:pPr>
              <w:spacing w:before="0" w:beforeLines="0" w:after="0" w:afterLines="0" w:line="400" w:lineRule="exact"/>
              <w:jc w:val="center"/>
              <w:rPr>
                <w:rFonts w:hAnsi="仿宋_GB2312" w:cs="仿宋_GB2312"/>
                <w:szCs w:val="24"/>
              </w:rPr>
            </w:pPr>
            <w:r>
              <w:rPr>
                <w:rFonts w:hint="eastAsia" w:hAnsi="仿宋_GB2312" w:cs="仿宋_GB2312"/>
                <w:szCs w:val="24"/>
              </w:rPr>
              <w:t>约束性</w:t>
            </w:r>
          </w:p>
        </w:tc>
      </w:tr>
      <w:tr w14:paraId="2912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8" w:type="dxa"/>
            <w:vMerge w:val="continue"/>
          </w:tcPr>
          <w:p w14:paraId="044EE3A8">
            <w:pPr>
              <w:spacing w:before="0" w:beforeLines="0" w:after="0" w:afterLines="0" w:line="400" w:lineRule="exact"/>
              <w:rPr>
                <w:rFonts w:hAnsi="仿宋_GB2312" w:cs="仿宋_GB2312"/>
                <w:b/>
                <w:szCs w:val="24"/>
              </w:rPr>
            </w:pPr>
          </w:p>
        </w:tc>
        <w:tc>
          <w:tcPr>
            <w:tcW w:w="709" w:type="dxa"/>
            <w:vAlign w:val="center"/>
          </w:tcPr>
          <w:p w14:paraId="06A718E6">
            <w:pPr>
              <w:pStyle w:val="12"/>
              <w:spacing w:before="0" w:beforeLines="0" w:after="0" w:afterLines="0" w:line="400" w:lineRule="exact"/>
              <w:ind w:firstLine="0" w:firstLineChars="0"/>
              <w:jc w:val="center"/>
              <w:rPr>
                <w:rFonts w:hAnsi="仿宋_GB2312" w:cs="仿宋_GB2312"/>
                <w:szCs w:val="24"/>
              </w:rPr>
            </w:pPr>
            <w:r>
              <w:rPr>
                <w:rFonts w:hint="eastAsia" w:hAnsi="仿宋_GB2312" w:cs="仿宋_GB2312"/>
                <w:szCs w:val="24"/>
              </w:rPr>
              <w:t>23</w:t>
            </w:r>
          </w:p>
        </w:tc>
        <w:tc>
          <w:tcPr>
            <w:tcW w:w="4693" w:type="dxa"/>
            <w:vAlign w:val="center"/>
          </w:tcPr>
          <w:p w14:paraId="2B153FA7">
            <w:pPr>
              <w:spacing w:before="0" w:beforeLines="0" w:after="0" w:afterLines="0" w:line="400" w:lineRule="exact"/>
              <w:rPr>
                <w:rFonts w:hAnsi="仿宋_GB2312" w:cs="仿宋_GB2312"/>
                <w:szCs w:val="24"/>
              </w:rPr>
            </w:pPr>
            <w:r>
              <w:rPr>
                <w:rFonts w:hint="eastAsia" w:hAnsi="仿宋_GB2312" w:cs="仿宋_GB2312"/>
                <w:szCs w:val="24"/>
              </w:rPr>
              <w:t>65岁以上老年人健康管理率（%）</w:t>
            </w:r>
          </w:p>
        </w:tc>
        <w:tc>
          <w:tcPr>
            <w:tcW w:w="1701" w:type="dxa"/>
            <w:vAlign w:val="center"/>
          </w:tcPr>
          <w:p w14:paraId="416C6CD5">
            <w:pPr>
              <w:spacing w:before="0" w:beforeLines="0" w:after="0" w:afterLines="0" w:line="400" w:lineRule="exact"/>
              <w:jc w:val="center"/>
              <w:rPr>
                <w:rFonts w:hAnsi="仿宋_GB2312" w:cs="仿宋_GB2312"/>
                <w:szCs w:val="24"/>
              </w:rPr>
            </w:pPr>
            <w:r>
              <w:rPr>
                <w:rFonts w:hint="eastAsia" w:hAnsi="仿宋_GB2312" w:cs="仿宋_GB2312"/>
                <w:szCs w:val="24"/>
              </w:rPr>
              <w:t>常住人口</w:t>
            </w:r>
          </w:p>
        </w:tc>
        <w:tc>
          <w:tcPr>
            <w:tcW w:w="1560" w:type="dxa"/>
            <w:vAlign w:val="center"/>
          </w:tcPr>
          <w:p w14:paraId="00DDA108">
            <w:pPr>
              <w:spacing w:before="0" w:beforeLines="0" w:after="0" w:afterLines="0" w:line="400" w:lineRule="exact"/>
              <w:jc w:val="center"/>
              <w:rPr>
                <w:rFonts w:hAnsi="仿宋_GB2312" w:cs="仿宋_GB2312"/>
                <w:szCs w:val="24"/>
              </w:rPr>
            </w:pPr>
            <w:r>
              <w:rPr>
                <w:rFonts w:hint="eastAsia" w:hAnsi="仿宋_GB2312" w:cs="仿宋_GB2312"/>
                <w:szCs w:val="24"/>
              </w:rPr>
              <w:t>70</w:t>
            </w:r>
          </w:p>
        </w:tc>
        <w:tc>
          <w:tcPr>
            <w:tcW w:w="1559" w:type="dxa"/>
            <w:vAlign w:val="center"/>
          </w:tcPr>
          <w:p w14:paraId="7DF0C448">
            <w:pPr>
              <w:spacing w:before="0" w:beforeLines="0" w:after="0" w:afterLines="0" w:line="400" w:lineRule="exact"/>
              <w:jc w:val="center"/>
              <w:rPr>
                <w:rFonts w:hAnsi="仿宋_GB2312" w:cs="仿宋_GB2312"/>
                <w:szCs w:val="24"/>
              </w:rPr>
            </w:pPr>
            <w:r>
              <w:rPr>
                <w:rFonts w:hint="eastAsia" w:hAnsi="仿宋_GB2312" w:cs="仿宋_GB2312"/>
                <w:szCs w:val="24"/>
              </w:rPr>
              <w:t>70</w:t>
            </w:r>
          </w:p>
        </w:tc>
        <w:tc>
          <w:tcPr>
            <w:tcW w:w="1559" w:type="dxa"/>
            <w:vAlign w:val="center"/>
          </w:tcPr>
          <w:p w14:paraId="779CFBA9">
            <w:pPr>
              <w:spacing w:before="0" w:beforeLines="0" w:after="0" w:afterLines="0" w:line="400" w:lineRule="exact"/>
              <w:jc w:val="center"/>
              <w:rPr>
                <w:rFonts w:hAnsi="仿宋_GB2312" w:cs="仿宋_GB2312"/>
                <w:szCs w:val="24"/>
              </w:rPr>
            </w:pPr>
            <w:r>
              <w:rPr>
                <w:rFonts w:hint="eastAsia" w:hAnsi="仿宋_GB2312" w:cs="仿宋_GB2312"/>
                <w:bCs/>
                <w:szCs w:val="24"/>
              </w:rPr>
              <w:t>≥</w:t>
            </w:r>
            <w:r>
              <w:rPr>
                <w:rFonts w:hint="eastAsia" w:hAnsi="仿宋_GB2312" w:cs="仿宋_GB2312"/>
                <w:szCs w:val="24"/>
              </w:rPr>
              <w:t xml:space="preserve">80 </w:t>
            </w:r>
          </w:p>
        </w:tc>
        <w:tc>
          <w:tcPr>
            <w:tcW w:w="1317" w:type="dxa"/>
            <w:vAlign w:val="center"/>
          </w:tcPr>
          <w:p w14:paraId="0E92D3D4">
            <w:pPr>
              <w:spacing w:before="0" w:beforeLines="0" w:after="0" w:afterLines="0" w:line="400" w:lineRule="exact"/>
              <w:jc w:val="center"/>
              <w:rPr>
                <w:rFonts w:hAnsi="仿宋_GB2312" w:cs="仿宋_GB2312"/>
                <w:szCs w:val="24"/>
              </w:rPr>
            </w:pPr>
            <w:r>
              <w:rPr>
                <w:rFonts w:hint="eastAsia" w:hAnsi="仿宋_GB2312" w:cs="仿宋_GB2312"/>
                <w:szCs w:val="24"/>
              </w:rPr>
              <w:t>预期性</w:t>
            </w:r>
          </w:p>
        </w:tc>
      </w:tr>
      <w:tr w14:paraId="3C23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8" w:type="dxa"/>
            <w:vMerge w:val="restart"/>
            <w:vAlign w:val="center"/>
          </w:tcPr>
          <w:p w14:paraId="243980CF">
            <w:pPr>
              <w:spacing w:before="0" w:beforeLines="0" w:after="0" w:afterLines="0" w:line="400" w:lineRule="exact"/>
              <w:jc w:val="center"/>
              <w:rPr>
                <w:rFonts w:hAnsi="仿宋_GB2312" w:cs="仿宋_GB2312"/>
                <w:b/>
                <w:szCs w:val="24"/>
              </w:rPr>
            </w:pPr>
            <w:r>
              <w:rPr>
                <w:rFonts w:hint="eastAsia" w:hAnsi="仿宋_GB2312" w:cs="仿宋_GB2312"/>
                <w:b/>
                <w:szCs w:val="24"/>
              </w:rPr>
              <w:t>医疗</w:t>
            </w:r>
          </w:p>
          <w:p w14:paraId="47434B36">
            <w:pPr>
              <w:spacing w:before="0" w:beforeLines="0" w:after="0" w:afterLines="0" w:line="400" w:lineRule="exact"/>
              <w:jc w:val="center"/>
              <w:rPr>
                <w:rFonts w:hAnsi="仿宋_GB2312" w:cs="仿宋_GB2312"/>
                <w:b/>
                <w:szCs w:val="24"/>
              </w:rPr>
            </w:pPr>
            <w:r>
              <w:rPr>
                <w:rFonts w:hint="eastAsia" w:hAnsi="仿宋_GB2312" w:cs="仿宋_GB2312"/>
                <w:b/>
                <w:szCs w:val="24"/>
              </w:rPr>
              <w:t>服务</w:t>
            </w:r>
          </w:p>
        </w:tc>
        <w:tc>
          <w:tcPr>
            <w:tcW w:w="709" w:type="dxa"/>
            <w:vAlign w:val="center"/>
          </w:tcPr>
          <w:p w14:paraId="795D0542">
            <w:pPr>
              <w:pStyle w:val="12"/>
              <w:spacing w:before="0" w:beforeLines="0" w:after="0" w:afterLines="0" w:line="400" w:lineRule="exact"/>
              <w:ind w:firstLine="0" w:firstLineChars="0"/>
              <w:jc w:val="center"/>
              <w:rPr>
                <w:rFonts w:hAnsi="仿宋_GB2312" w:cs="仿宋_GB2312"/>
                <w:szCs w:val="24"/>
              </w:rPr>
            </w:pPr>
            <w:r>
              <w:rPr>
                <w:rFonts w:hint="eastAsia" w:hAnsi="仿宋_GB2312" w:cs="仿宋_GB2312"/>
                <w:szCs w:val="24"/>
              </w:rPr>
              <w:t>24</w:t>
            </w:r>
          </w:p>
        </w:tc>
        <w:tc>
          <w:tcPr>
            <w:tcW w:w="4693" w:type="dxa"/>
            <w:vAlign w:val="center"/>
          </w:tcPr>
          <w:p w14:paraId="143B76DA">
            <w:pPr>
              <w:spacing w:before="0" w:beforeLines="0" w:after="0" w:afterLines="0" w:line="400" w:lineRule="exact"/>
              <w:rPr>
                <w:rFonts w:hAnsi="仿宋_GB2312" w:cs="仿宋_GB2312"/>
                <w:szCs w:val="24"/>
              </w:rPr>
            </w:pPr>
            <w:r>
              <w:rPr>
                <w:rFonts w:hint="eastAsia" w:hAnsi="仿宋_GB2312" w:cs="仿宋_GB2312"/>
                <w:szCs w:val="24"/>
              </w:rPr>
              <w:t>社康中心诊疗量占区属医疗机构诊疗量百分比（%）</w:t>
            </w:r>
          </w:p>
        </w:tc>
        <w:tc>
          <w:tcPr>
            <w:tcW w:w="1701" w:type="dxa"/>
            <w:vAlign w:val="center"/>
          </w:tcPr>
          <w:p w14:paraId="0308179B">
            <w:pPr>
              <w:spacing w:before="0" w:beforeLines="0" w:after="0" w:afterLines="0" w:line="400" w:lineRule="exact"/>
              <w:jc w:val="center"/>
              <w:rPr>
                <w:rFonts w:hAnsi="仿宋_GB2312" w:cs="仿宋_GB2312"/>
                <w:szCs w:val="24"/>
              </w:rPr>
            </w:pPr>
            <w:r>
              <w:rPr>
                <w:rFonts w:hint="eastAsia" w:hAnsi="仿宋_GB2312" w:cs="仿宋_GB2312"/>
                <w:szCs w:val="24"/>
              </w:rPr>
              <w:t>--</w:t>
            </w:r>
          </w:p>
        </w:tc>
        <w:tc>
          <w:tcPr>
            <w:tcW w:w="1560" w:type="dxa"/>
            <w:vAlign w:val="center"/>
          </w:tcPr>
          <w:p w14:paraId="050906EC">
            <w:pPr>
              <w:spacing w:before="0" w:beforeLines="0" w:after="0" w:afterLines="0" w:line="400" w:lineRule="exact"/>
              <w:jc w:val="center"/>
              <w:rPr>
                <w:rFonts w:hAnsi="仿宋_GB2312" w:cs="仿宋_GB2312"/>
                <w:szCs w:val="24"/>
              </w:rPr>
            </w:pPr>
            <w:r>
              <w:rPr>
                <w:rFonts w:hint="eastAsia" w:hAnsi="仿宋_GB2312" w:cs="仿宋_GB2312"/>
                <w:szCs w:val="24"/>
              </w:rPr>
              <w:t>50</w:t>
            </w:r>
          </w:p>
        </w:tc>
        <w:tc>
          <w:tcPr>
            <w:tcW w:w="1559" w:type="dxa"/>
            <w:vAlign w:val="center"/>
          </w:tcPr>
          <w:p w14:paraId="5E8F24F0">
            <w:pPr>
              <w:spacing w:before="0" w:beforeLines="0" w:after="0" w:afterLines="0" w:line="400" w:lineRule="exact"/>
              <w:jc w:val="center"/>
              <w:rPr>
                <w:rFonts w:hAnsi="仿宋_GB2312" w:cs="仿宋_GB2312"/>
                <w:szCs w:val="24"/>
              </w:rPr>
            </w:pPr>
            <w:r>
              <w:rPr>
                <w:rFonts w:hint="eastAsia" w:hAnsi="仿宋_GB2312" w:cs="仿宋_GB2312"/>
                <w:szCs w:val="24"/>
              </w:rPr>
              <w:t>35</w:t>
            </w:r>
          </w:p>
        </w:tc>
        <w:tc>
          <w:tcPr>
            <w:tcW w:w="1559" w:type="dxa"/>
            <w:vAlign w:val="center"/>
          </w:tcPr>
          <w:p w14:paraId="150AC85E">
            <w:pPr>
              <w:spacing w:before="0" w:beforeLines="0" w:after="0" w:afterLines="0" w:line="400" w:lineRule="exact"/>
              <w:jc w:val="center"/>
              <w:rPr>
                <w:rFonts w:hAnsi="仿宋_GB2312" w:cs="仿宋_GB2312"/>
                <w:szCs w:val="24"/>
              </w:rPr>
            </w:pPr>
            <w:r>
              <w:rPr>
                <w:rFonts w:hint="eastAsia" w:hAnsi="仿宋_GB2312" w:cs="仿宋_GB2312"/>
                <w:bCs/>
                <w:szCs w:val="24"/>
              </w:rPr>
              <w:t>≥</w:t>
            </w:r>
            <w:r>
              <w:rPr>
                <w:rFonts w:hint="eastAsia" w:hAnsi="仿宋_GB2312" w:cs="仿宋_GB2312"/>
                <w:szCs w:val="24"/>
              </w:rPr>
              <w:t>60</w:t>
            </w:r>
          </w:p>
        </w:tc>
        <w:tc>
          <w:tcPr>
            <w:tcW w:w="1317" w:type="dxa"/>
            <w:vAlign w:val="center"/>
          </w:tcPr>
          <w:p w14:paraId="3FCFE24E">
            <w:pPr>
              <w:spacing w:before="0" w:beforeLines="0" w:after="0" w:afterLines="0" w:line="400" w:lineRule="exact"/>
              <w:jc w:val="center"/>
              <w:rPr>
                <w:rFonts w:hAnsi="仿宋_GB2312" w:cs="仿宋_GB2312"/>
                <w:szCs w:val="24"/>
              </w:rPr>
            </w:pPr>
            <w:r>
              <w:rPr>
                <w:rFonts w:hint="eastAsia" w:hAnsi="仿宋_GB2312" w:cs="仿宋_GB2312"/>
                <w:szCs w:val="24"/>
              </w:rPr>
              <w:t>约束性</w:t>
            </w:r>
          </w:p>
        </w:tc>
      </w:tr>
      <w:tr w14:paraId="53F1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8" w:type="dxa"/>
            <w:vMerge w:val="continue"/>
          </w:tcPr>
          <w:p w14:paraId="34281EBD">
            <w:pPr>
              <w:spacing w:before="0" w:beforeLines="0" w:after="0" w:afterLines="0" w:line="400" w:lineRule="exact"/>
              <w:rPr>
                <w:rFonts w:hAnsi="仿宋_GB2312" w:cs="仿宋_GB2312"/>
                <w:b/>
                <w:szCs w:val="24"/>
              </w:rPr>
            </w:pPr>
          </w:p>
        </w:tc>
        <w:tc>
          <w:tcPr>
            <w:tcW w:w="709" w:type="dxa"/>
            <w:vAlign w:val="center"/>
          </w:tcPr>
          <w:p w14:paraId="68F8738F">
            <w:pPr>
              <w:pStyle w:val="12"/>
              <w:spacing w:before="0" w:beforeLines="0" w:after="0" w:afterLines="0" w:line="400" w:lineRule="exact"/>
              <w:ind w:firstLine="0" w:firstLineChars="0"/>
              <w:jc w:val="center"/>
              <w:rPr>
                <w:rFonts w:hAnsi="仿宋_GB2312" w:cs="仿宋_GB2312"/>
                <w:szCs w:val="24"/>
              </w:rPr>
            </w:pPr>
            <w:r>
              <w:rPr>
                <w:rFonts w:hint="eastAsia" w:hAnsi="仿宋_GB2312" w:cs="仿宋_GB2312"/>
                <w:szCs w:val="24"/>
              </w:rPr>
              <w:t>25</w:t>
            </w:r>
          </w:p>
        </w:tc>
        <w:tc>
          <w:tcPr>
            <w:tcW w:w="4693" w:type="dxa"/>
            <w:vAlign w:val="center"/>
          </w:tcPr>
          <w:p w14:paraId="7FB1CA39">
            <w:pPr>
              <w:spacing w:before="0" w:beforeLines="0" w:after="0" w:afterLines="0" w:line="400" w:lineRule="exact"/>
              <w:rPr>
                <w:rFonts w:hAnsi="仿宋_GB2312" w:cs="仿宋_GB2312"/>
                <w:szCs w:val="24"/>
              </w:rPr>
            </w:pPr>
            <w:r>
              <w:rPr>
                <w:rFonts w:hint="eastAsia" w:hAnsi="仿宋_GB2312" w:cs="仿宋_GB2312"/>
                <w:szCs w:val="24"/>
              </w:rPr>
              <w:t>区属医疗机构平均住院日（天）</w:t>
            </w:r>
          </w:p>
        </w:tc>
        <w:tc>
          <w:tcPr>
            <w:tcW w:w="1701" w:type="dxa"/>
            <w:vAlign w:val="center"/>
          </w:tcPr>
          <w:p w14:paraId="37EADFF1">
            <w:pPr>
              <w:spacing w:before="0" w:beforeLines="0" w:after="0" w:afterLines="0" w:line="400" w:lineRule="exact"/>
              <w:jc w:val="center"/>
              <w:rPr>
                <w:rFonts w:hAnsi="仿宋_GB2312" w:cs="仿宋_GB2312"/>
                <w:szCs w:val="24"/>
              </w:rPr>
            </w:pPr>
            <w:r>
              <w:rPr>
                <w:rFonts w:hint="eastAsia" w:hAnsi="仿宋_GB2312" w:cs="仿宋_GB2312"/>
                <w:szCs w:val="24"/>
              </w:rPr>
              <w:t>--</w:t>
            </w:r>
          </w:p>
        </w:tc>
        <w:tc>
          <w:tcPr>
            <w:tcW w:w="1560" w:type="dxa"/>
            <w:vAlign w:val="center"/>
          </w:tcPr>
          <w:p w14:paraId="56310B6E">
            <w:pPr>
              <w:spacing w:before="0" w:beforeLines="0" w:after="0" w:afterLines="0" w:line="400" w:lineRule="exact"/>
              <w:jc w:val="center"/>
              <w:rPr>
                <w:rFonts w:hAnsi="仿宋_GB2312" w:cs="仿宋_GB2312"/>
                <w:szCs w:val="24"/>
              </w:rPr>
            </w:pPr>
            <w:r>
              <w:rPr>
                <w:rFonts w:hint="eastAsia" w:hAnsi="仿宋_GB2312" w:cs="仿宋_GB2312"/>
                <w:szCs w:val="24"/>
              </w:rPr>
              <w:t>8.1</w:t>
            </w:r>
          </w:p>
        </w:tc>
        <w:tc>
          <w:tcPr>
            <w:tcW w:w="1559" w:type="dxa"/>
            <w:vAlign w:val="center"/>
          </w:tcPr>
          <w:p w14:paraId="13CC2393">
            <w:pPr>
              <w:spacing w:before="0" w:beforeLines="0" w:after="0" w:afterLines="0" w:line="400" w:lineRule="exact"/>
              <w:jc w:val="center"/>
              <w:rPr>
                <w:rFonts w:hAnsi="仿宋_GB2312" w:cs="仿宋_GB2312"/>
                <w:szCs w:val="24"/>
              </w:rPr>
            </w:pPr>
            <w:r>
              <w:rPr>
                <w:rFonts w:hint="eastAsia" w:hAnsi="仿宋_GB2312" w:cs="仿宋_GB2312"/>
                <w:szCs w:val="24"/>
              </w:rPr>
              <w:t>8.0</w:t>
            </w:r>
          </w:p>
        </w:tc>
        <w:tc>
          <w:tcPr>
            <w:tcW w:w="1559" w:type="dxa"/>
            <w:vAlign w:val="center"/>
          </w:tcPr>
          <w:p w14:paraId="4F3E52E2">
            <w:pPr>
              <w:spacing w:before="0" w:beforeLines="0" w:after="0" w:afterLines="0" w:line="400" w:lineRule="exact"/>
              <w:jc w:val="center"/>
              <w:rPr>
                <w:rFonts w:hAnsi="仿宋_GB2312" w:cs="仿宋_GB2312"/>
                <w:szCs w:val="24"/>
              </w:rPr>
            </w:pPr>
            <w:r>
              <w:rPr>
                <w:rFonts w:hint="eastAsia" w:hAnsi="仿宋_GB2312" w:cs="仿宋_GB2312"/>
                <w:szCs w:val="24"/>
              </w:rPr>
              <w:t>8.0</w:t>
            </w:r>
          </w:p>
        </w:tc>
        <w:tc>
          <w:tcPr>
            <w:tcW w:w="1317" w:type="dxa"/>
            <w:vAlign w:val="center"/>
          </w:tcPr>
          <w:p w14:paraId="294C30E0">
            <w:pPr>
              <w:spacing w:before="0" w:beforeLines="0" w:after="0" w:afterLines="0" w:line="400" w:lineRule="exact"/>
              <w:jc w:val="center"/>
              <w:rPr>
                <w:rFonts w:hAnsi="仿宋_GB2312" w:cs="仿宋_GB2312"/>
                <w:szCs w:val="24"/>
              </w:rPr>
            </w:pPr>
            <w:r>
              <w:rPr>
                <w:rFonts w:hint="eastAsia" w:hAnsi="仿宋_GB2312" w:cs="仿宋_GB2312"/>
                <w:szCs w:val="24"/>
              </w:rPr>
              <w:t>预期性</w:t>
            </w:r>
          </w:p>
        </w:tc>
      </w:tr>
      <w:tr w14:paraId="46A2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8" w:type="dxa"/>
            <w:vMerge w:val="continue"/>
          </w:tcPr>
          <w:p w14:paraId="57CE96BD">
            <w:pPr>
              <w:spacing w:before="0" w:beforeLines="0" w:after="0" w:afterLines="0" w:line="400" w:lineRule="exact"/>
              <w:rPr>
                <w:rFonts w:hAnsi="仿宋_GB2312" w:cs="仿宋_GB2312"/>
                <w:b/>
                <w:szCs w:val="24"/>
              </w:rPr>
            </w:pPr>
          </w:p>
        </w:tc>
        <w:tc>
          <w:tcPr>
            <w:tcW w:w="709" w:type="dxa"/>
            <w:vAlign w:val="center"/>
          </w:tcPr>
          <w:p w14:paraId="624B16D9">
            <w:pPr>
              <w:pStyle w:val="12"/>
              <w:spacing w:before="0" w:beforeLines="0" w:after="0" w:afterLines="0" w:line="400" w:lineRule="exact"/>
              <w:ind w:firstLine="0" w:firstLineChars="0"/>
              <w:jc w:val="center"/>
              <w:rPr>
                <w:rFonts w:hAnsi="仿宋_GB2312" w:cs="仿宋_GB2312"/>
                <w:szCs w:val="24"/>
              </w:rPr>
            </w:pPr>
            <w:r>
              <w:rPr>
                <w:rFonts w:hint="eastAsia" w:hAnsi="仿宋_GB2312" w:cs="仿宋_GB2312"/>
                <w:szCs w:val="24"/>
              </w:rPr>
              <w:t>26</w:t>
            </w:r>
          </w:p>
        </w:tc>
        <w:tc>
          <w:tcPr>
            <w:tcW w:w="4693" w:type="dxa"/>
            <w:vAlign w:val="center"/>
          </w:tcPr>
          <w:p w14:paraId="11A88C5E">
            <w:pPr>
              <w:spacing w:before="0" w:beforeLines="0" w:after="0" w:afterLines="0" w:line="400" w:lineRule="exact"/>
              <w:rPr>
                <w:rFonts w:hAnsi="仿宋_GB2312" w:cs="仿宋_GB2312"/>
                <w:szCs w:val="24"/>
              </w:rPr>
            </w:pPr>
            <w:r>
              <w:rPr>
                <w:rFonts w:hint="eastAsia" w:hAnsi="仿宋_GB2312" w:cs="仿宋_GB2312"/>
                <w:szCs w:val="24"/>
              </w:rPr>
              <w:t>区属医疗机构病床使用率（%）</w:t>
            </w:r>
          </w:p>
        </w:tc>
        <w:tc>
          <w:tcPr>
            <w:tcW w:w="1701" w:type="dxa"/>
            <w:vAlign w:val="center"/>
          </w:tcPr>
          <w:p w14:paraId="3D498F4F">
            <w:pPr>
              <w:spacing w:before="0" w:beforeLines="0" w:after="0" w:afterLines="0" w:line="400" w:lineRule="exact"/>
              <w:jc w:val="center"/>
              <w:rPr>
                <w:rFonts w:hAnsi="仿宋_GB2312" w:cs="仿宋_GB2312"/>
                <w:szCs w:val="24"/>
              </w:rPr>
            </w:pPr>
            <w:r>
              <w:rPr>
                <w:rFonts w:hint="eastAsia" w:hAnsi="仿宋_GB2312" w:cs="仿宋_GB2312"/>
                <w:szCs w:val="24"/>
              </w:rPr>
              <w:t>--</w:t>
            </w:r>
          </w:p>
        </w:tc>
        <w:tc>
          <w:tcPr>
            <w:tcW w:w="1560" w:type="dxa"/>
            <w:vAlign w:val="center"/>
          </w:tcPr>
          <w:p w14:paraId="0E7FC5C2">
            <w:pPr>
              <w:spacing w:before="0" w:beforeLines="0" w:after="0" w:afterLines="0" w:line="400" w:lineRule="exact"/>
              <w:jc w:val="center"/>
              <w:rPr>
                <w:rFonts w:hAnsi="仿宋_GB2312" w:cs="仿宋_GB2312"/>
                <w:szCs w:val="24"/>
              </w:rPr>
            </w:pPr>
            <w:r>
              <w:rPr>
                <w:rFonts w:hint="eastAsia" w:hAnsi="仿宋_GB2312" w:cs="仿宋_GB2312"/>
                <w:szCs w:val="24"/>
              </w:rPr>
              <w:t>96.12</w:t>
            </w:r>
          </w:p>
        </w:tc>
        <w:tc>
          <w:tcPr>
            <w:tcW w:w="1559" w:type="dxa"/>
            <w:vAlign w:val="center"/>
          </w:tcPr>
          <w:p w14:paraId="5CA7BF57">
            <w:pPr>
              <w:spacing w:before="0" w:beforeLines="0" w:after="0" w:afterLines="0" w:line="400" w:lineRule="exact"/>
              <w:jc w:val="center"/>
              <w:rPr>
                <w:rFonts w:hAnsi="仿宋_GB2312" w:cs="仿宋_GB2312"/>
                <w:szCs w:val="24"/>
              </w:rPr>
            </w:pPr>
            <w:r>
              <w:rPr>
                <w:rFonts w:hint="eastAsia" w:hAnsi="仿宋_GB2312" w:cs="仿宋_GB2312"/>
                <w:szCs w:val="24"/>
              </w:rPr>
              <w:t>88</w:t>
            </w:r>
          </w:p>
        </w:tc>
        <w:tc>
          <w:tcPr>
            <w:tcW w:w="1559" w:type="dxa"/>
            <w:vAlign w:val="center"/>
          </w:tcPr>
          <w:p w14:paraId="487882EB">
            <w:pPr>
              <w:spacing w:before="0" w:beforeLines="0" w:after="0" w:afterLines="0" w:line="400" w:lineRule="exact"/>
              <w:jc w:val="center"/>
              <w:rPr>
                <w:rFonts w:hAnsi="仿宋_GB2312" w:cs="仿宋_GB2312"/>
                <w:szCs w:val="24"/>
              </w:rPr>
            </w:pPr>
            <w:r>
              <w:rPr>
                <w:rFonts w:hint="eastAsia" w:hAnsi="仿宋_GB2312" w:cs="仿宋_GB2312"/>
                <w:bCs/>
                <w:szCs w:val="24"/>
              </w:rPr>
              <w:t>≥</w:t>
            </w:r>
            <w:r>
              <w:rPr>
                <w:rFonts w:hint="eastAsia" w:hAnsi="仿宋_GB2312" w:cs="仿宋_GB2312"/>
                <w:szCs w:val="24"/>
              </w:rPr>
              <w:t>90</w:t>
            </w:r>
          </w:p>
        </w:tc>
        <w:tc>
          <w:tcPr>
            <w:tcW w:w="1317" w:type="dxa"/>
            <w:vAlign w:val="center"/>
          </w:tcPr>
          <w:p w14:paraId="576AE57A">
            <w:pPr>
              <w:spacing w:before="0" w:beforeLines="0" w:after="0" w:afterLines="0" w:line="400" w:lineRule="exact"/>
              <w:jc w:val="center"/>
              <w:rPr>
                <w:rFonts w:hAnsi="仿宋_GB2312" w:cs="仿宋_GB2312"/>
                <w:szCs w:val="24"/>
              </w:rPr>
            </w:pPr>
            <w:r>
              <w:rPr>
                <w:rFonts w:hint="eastAsia" w:hAnsi="仿宋_GB2312" w:cs="仿宋_GB2312"/>
                <w:szCs w:val="24"/>
              </w:rPr>
              <w:t>约束性</w:t>
            </w:r>
          </w:p>
        </w:tc>
      </w:tr>
      <w:tr w14:paraId="033D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8" w:type="dxa"/>
            <w:vAlign w:val="center"/>
          </w:tcPr>
          <w:p w14:paraId="19E347CE">
            <w:pPr>
              <w:spacing w:before="0" w:beforeLines="0" w:after="0" w:afterLines="0" w:line="400" w:lineRule="exact"/>
              <w:jc w:val="center"/>
              <w:rPr>
                <w:rFonts w:hAnsi="仿宋_GB2312" w:cs="仿宋_GB2312"/>
                <w:b/>
                <w:szCs w:val="24"/>
              </w:rPr>
            </w:pPr>
            <w:r>
              <w:rPr>
                <w:rFonts w:hint="eastAsia" w:hAnsi="仿宋_GB2312" w:cs="仿宋_GB2312"/>
                <w:b/>
                <w:szCs w:val="24"/>
              </w:rPr>
              <w:t>计划生育</w:t>
            </w:r>
          </w:p>
        </w:tc>
        <w:tc>
          <w:tcPr>
            <w:tcW w:w="709" w:type="dxa"/>
            <w:vAlign w:val="center"/>
          </w:tcPr>
          <w:p w14:paraId="73EDD37E">
            <w:pPr>
              <w:pStyle w:val="12"/>
              <w:spacing w:before="0" w:beforeLines="0" w:after="0" w:afterLines="0" w:line="400" w:lineRule="exact"/>
              <w:ind w:firstLine="0" w:firstLineChars="0"/>
              <w:jc w:val="center"/>
              <w:rPr>
                <w:rFonts w:hAnsi="仿宋_GB2312" w:cs="仿宋_GB2312"/>
                <w:szCs w:val="24"/>
              </w:rPr>
            </w:pPr>
            <w:r>
              <w:rPr>
                <w:rFonts w:hint="eastAsia" w:hAnsi="仿宋_GB2312" w:cs="仿宋_GB2312"/>
                <w:szCs w:val="24"/>
              </w:rPr>
              <w:t>27</w:t>
            </w:r>
          </w:p>
        </w:tc>
        <w:tc>
          <w:tcPr>
            <w:tcW w:w="4693" w:type="dxa"/>
            <w:vAlign w:val="center"/>
          </w:tcPr>
          <w:p w14:paraId="63D376A2">
            <w:pPr>
              <w:spacing w:before="0" w:beforeLines="0" w:after="0" w:afterLines="0" w:line="400" w:lineRule="exact"/>
              <w:rPr>
                <w:rFonts w:hAnsi="仿宋_GB2312" w:cs="仿宋_GB2312"/>
                <w:szCs w:val="24"/>
              </w:rPr>
            </w:pPr>
            <w:r>
              <w:rPr>
                <w:rFonts w:hint="eastAsia" w:hAnsi="仿宋_GB2312" w:cs="仿宋_GB2312"/>
                <w:szCs w:val="24"/>
              </w:rPr>
              <w:t>政策生育率（%）</w:t>
            </w:r>
          </w:p>
        </w:tc>
        <w:tc>
          <w:tcPr>
            <w:tcW w:w="1701" w:type="dxa"/>
            <w:vAlign w:val="center"/>
          </w:tcPr>
          <w:p w14:paraId="30B1378F">
            <w:pPr>
              <w:spacing w:before="0" w:beforeLines="0" w:after="0" w:afterLines="0" w:line="400" w:lineRule="exact"/>
              <w:jc w:val="center"/>
              <w:rPr>
                <w:rFonts w:hAnsi="仿宋_GB2312" w:cs="仿宋_GB2312"/>
                <w:szCs w:val="24"/>
              </w:rPr>
            </w:pPr>
            <w:r>
              <w:rPr>
                <w:rFonts w:hint="eastAsia" w:hAnsi="仿宋_GB2312" w:cs="仿宋_GB2312"/>
                <w:szCs w:val="24"/>
              </w:rPr>
              <w:t>常住人口</w:t>
            </w:r>
          </w:p>
        </w:tc>
        <w:tc>
          <w:tcPr>
            <w:tcW w:w="1560" w:type="dxa"/>
            <w:vAlign w:val="center"/>
          </w:tcPr>
          <w:p w14:paraId="33DE189F">
            <w:pPr>
              <w:spacing w:before="0" w:beforeLines="0" w:after="0" w:afterLines="0" w:line="400" w:lineRule="exact"/>
              <w:jc w:val="center"/>
              <w:rPr>
                <w:rFonts w:hAnsi="仿宋_GB2312" w:cs="仿宋_GB2312"/>
                <w:szCs w:val="24"/>
              </w:rPr>
            </w:pPr>
            <w:r>
              <w:rPr>
                <w:rFonts w:hint="eastAsia" w:hAnsi="仿宋_GB2312" w:cs="仿宋_GB2312"/>
                <w:szCs w:val="24"/>
              </w:rPr>
              <w:t>86.9</w:t>
            </w:r>
          </w:p>
        </w:tc>
        <w:tc>
          <w:tcPr>
            <w:tcW w:w="1559" w:type="dxa"/>
            <w:vAlign w:val="center"/>
          </w:tcPr>
          <w:p w14:paraId="595ED191">
            <w:pPr>
              <w:spacing w:before="0" w:beforeLines="0" w:after="0" w:afterLines="0" w:line="400" w:lineRule="exact"/>
              <w:jc w:val="center"/>
              <w:rPr>
                <w:rFonts w:hAnsi="仿宋_GB2312" w:cs="仿宋_GB2312"/>
                <w:szCs w:val="24"/>
              </w:rPr>
            </w:pPr>
            <w:r>
              <w:rPr>
                <w:rFonts w:hint="eastAsia" w:hAnsi="仿宋_GB2312" w:cs="仿宋_GB2312"/>
                <w:szCs w:val="24"/>
              </w:rPr>
              <w:t>≥86</w:t>
            </w:r>
          </w:p>
        </w:tc>
        <w:tc>
          <w:tcPr>
            <w:tcW w:w="1559" w:type="dxa"/>
            <w:vAlign w:val="center"/>
          </w:tcPr>
          <w:p w14:paraId="6916D917">
            <w:pPr>
              <w:spacing w:before="0" w:beforeLines="0" w:after="0" w:afterLines="0" w:line="400" w:lineRule="exact"/>
              <w:jc w:val="center"/>
              <w:rPr>
                <w:rFonts w:hAnsi="仿宋_GB2312" w:cs="仿宋_GB2312"/>
                <w:szCs w:val="24"/>
              </w:rPr>
            </w:pPr>
            <w:r>
              <w:rPr>
                <w:rFonts w:hint="eastAsia" w:hAnsi="仿宋_GB2312" w:cs="仿宋_GB2312"/>
                <w:szCs w:val="24"/>
              </w:rPr>
              <w:t>≥90</w:t>
            </w:r>
          </w:p>
        </w:tc>
        <w:tc>
          <w:tcPr>
            <w:tcW w:w="1317" w:type="dxa"/>
            <w:vAlign w:val="center"/>
          </w:tcPr>
          <w:p w14:paraId="24AE9563">
            <w:pPr>
              <w:spacing w:before="0" w:beforeLines="0" w:after="0" w:afterLines="0" w:line="400" w:lineRule="exact"/>
              <w:jc w:val="center"/>
              <w:rPr>
                <w:rFonts w:hAnsi="仿宋_GB2312" w:cs="仿宋_GB2312"/>
                <w:szCs w:val="24"/>
              </w:rPr>
            </w:pPr>
            <w:r>
              <w:rPr>
                <w:rFonts w:hint="eastAsia" w:hAnsi="仿宋_GB2312" w:cs="仿宋_GB2312"/>
                <w:szCs w:val="24"/>
              </w:rPr>
              <w:t>约束性</w:t>
            </w:r>
          </w:p>
        </w:tc>
      </w:tr>
    </w:tbl>
    <w:p w14:paraId="0D3FFEEE">
      <w:pPr>
        <w:spacing w:before="163" w:after="163" w:line="20" w:lineRule="exact"/>
        <w:rPr>
          <w:szCs w:val="24"/>
        </w:rPr>
      </w:pPr>
    </w:p>
    <w:p w14:paraId="6AD7610B">
      <w:pPr>
        <w:spacing w:before="163" w:after="163"/>
      </w:pPr>
    </w:p>
    <w:sectPr>
      <w:pgSz w:w="16838" w:h="11906" w:orient="landscape"/>
      <w:pgMar w:top="1587" w:right="2098" w:bottom="1474" w:left="1814" w:header="850" w:footer="850" w:gutter="0"/>
      <w:cols w:space="0" w:num="1"/>
      <w:docGrid w:type="lines"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modern"/>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modern"/>
    <w:pitch w:val="default"/>
    <w:sig w:usb0="00000000" w:usb1="00000000" w:usb2="0000003F" w:usb3="00000000" w:csb0="603F01FF" w:csb1="FFFF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8D861">
    <w:pPr>
      <w:pStyle w:val="7"/>
      <w:spacing w:before="120" w:beforeLines="0" w:after="120" w:afterLine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FA528">
    <w:pPr>
      <w:pStyle w:val="7"/>
      <w:spacing w:before="120" w:beforeLines="0" w:after="120" w:afterLine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64DD2">
    <w:pPr>
      <w:pStyle w:val="7"/>
      <w:spacing w:before="120" w:beforeLines="0" w:after="120" w:afterLine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0579469"/>
    </w:sdtPr>
    <w:sdtEndPr>
      <w:rPr>
        <w:rFonts w:asciiTheme="majorEastAsia" w:hAnsiTheme="majorEastAsia" w:eastAsiaTheme="majorEastAsia"/>
        <w:sz w:val="28"/>
        <w:szCs w:val="28"/>
      </w:rPr>
    </w:sdtEndPr>
    <w:sdtContent>
      <w:p w14:paraId="7701FCE7">
        <w:pPr>
          <w:pStyle w:val="7"/>
          <w:spacing w:before="120" w:after="120"/>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t>- 1 -</w:t>
        </w:r>
        <w:r>
          <w:rPr>
            <w:rFonts w:asciiTheme="majorEastAsia" w:hAnsiTheme="majorEastAsia" w:eastAsiaTheme="majorEastAsia"/>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0614454"/>
    </w:sdtPr>
    <w:sdtEndPr>
      <w:rPr>
        <w:rFonts w:asciiTheme="majorEastAsia" w:hAnsiTheme="majorEastAsia" w:eastAsiaTheme="majorEastAsia"/>
        <w:sz w:val="28"/>
        <w:szCs w:val="28"/>
      </w:rPr>
    </w:sdtEndPr>
    <w:sdtContent>
      <w:p w14:paraId="22C09B07">
        <w:pPr>
          <w:pStyle w:val="7"/>
          <w:spacing w:before="120" w:after="120"/>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t>- 2 -</w:t>
        </w:r>
        <w:r>
          <w:rPr>
            <w:rFonts w:asciiTheme="majorEastAsia" w:hAnsiTheme="majorEastAsia" w:eastAsiaTheme="maj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EA36D">
    <w:pPr>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A814F">
    <w:pPr>
      <w:spacing w:before="120"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1F08D">
    <w:pPr>
      <w:pStyle w:val="8"/>
      <w:spacing w:before="120" w:beforeLines="0" w:after="120" w:afterLine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bullet"/>
      <w:lvlText w:val=""/>
      <w:lvlJc w:val="left"/>
      <w:pPr>
        <w:tabs>
          <w:tab w:val="left" w:pos="420"/>
        </w:tabs>
        <w:ind w:left="420" w:hanging="420"/>
      </w:pPr>
      <w:rPr>
        <w:rFonts w:hint="default" w:ascii="Wingdings" w:hAnsi="Wingdings"/>
      </w:rPr>
    </w:lvl>
  </w:abstractNum>
  <w:abstractNum w:abstractNumId="1">
    <w:nsid w:val="00000007"/>
    <w:multiLevelType w:val="singleLevel"/>
    <w:tmpl w:val="00000007"/>
    <w:lvl w:ilvl="0" w:tentative="0">
      <w:start w:val="1"/>
      <w:numFmt w:val="bullet"/>
      <w:lvlText w:val=""/>
      <w:lvlJc w:val="left"/>
      <w:pPr>
        <w:tabs>
          <w:tab w:val="left" w:pos="420"/>
        </w:tabs>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1"/>
  <w:bordersDoNotSurroundFooter w:val="1"/>
  <w:documentProtection w:enforcement="0"/>
  <w:defaultTabStop w:val="420"/>
  <w:evenAndOddHeaders w:val="1"/>
  <w:drawingGridHorizontalSpacing w:val="120"/>
  <w:drawingGridVerticalSpacing w:val="163"/>
  <w:displayHorizontalDrawingGridEvery w:val="0"/>
  <w:displayVerticalDrawingGridEvery w:val="2"/>
  <w:characterSpacingControl w:val="compressPunctuation"/>
  <w:footnotePr>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C348C"/>
    <w:rsid w:val="000A61CF"/>
    <w:rsid w:val="00142ED7"/>
    <w:rsid w:val="002F24AC"/>
    <w:rsid w:val="003E1336"/>
    <w:rsid w:val="00503381"/>
    <w:rsid w:val="005C3CC0"/>
    <w:rsid w:val="00676518"/>
    <w:rsid w:val="007C3809"/>
    <w:rsid w:val="007E2F7F"/>
    <w:rsid w:val="00B00265"/>
    <w:rsid w:val="00B45C38"/>
    <w:rsid w:val="00CE6912"/>
    <w:rsid w:val="00D722A3"/>
    <w:rsid w:val="00E623C5"/>
    <w:rsid w:val="00FA30E2"/>
    <w:rsid w:val="00FF2312"/>
    <w:rsid w:val="11AA697C"/>
    <w:rsid w:val="3D2C152D"/>
    <w:rsid w:val="4BAB1C93"/>
    <w:rsid w:val="4C036EED"/>
    <w:rsid w:val="54CD1A2D"/>
    <w:rsid w:val="5F62370B"/>
    <w:rsid w:val="60B344E6"/>
    <w:rsid w:val="66570218"/>
    <w:rsid w:val="66BF7EC6"/>
    <w:rsid w:val="6E2E3854"/>
    <w:rsid w:val="6FEC348C"/>
    <w:rsid w:val="75367383"/>
    <w:rsid w:val="77B410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56" w:beforeLines="50" w:after="156" w:afterLines="50" w:line="360" w:lineRule="auto"/>
      <w:jc w:val="both"/>
    </w:pPr>
    <w:rPr>
      <w:rFonts w:ascii="仿宋_GB2312" w:hAnsi="Calibri" w:eastAsia="仿宋_GB2312" w:cs="黑体"/>
      <w:kern w:val="2"/>
      <w:sz w:val="24"/>
      <w:szCs w:val="22"/>
      <w:lang w:val="en-US" w:eastAsia="zh-CN" w:bidi="ar-SA"/>
    </w:rPr>
  </w:style>
  <w:style w:type="paragraph" w:styleId="2">
    <w:name w:val="heading 1"/>
    <w:basedOn w:val="1"/>
    <w:next w:val="1"/>
    <w:qFormat/>
    <w:uiPriority w:val="0"/>
    <w:pPr>
      <w:keepNext/>
      <w:keepLines/>
      <w:outlineLvl w:val="0"/>
    </w:pPr>
    <w:rPr>
      <w:rFonts w:eastAsia="黑体"/>
      <w:b/>
      <w:bCs/>
      <w:kern w:val="44"/>
      <w:sz w:val="28"/>
      <w:szCs w:val="44"/>
    </w:rPr>
  </w:style>
  <w:style w:type="paragraph" w:styleId="3">
    <w:name w:val="heading 2"/>
    <w:basedOn w:val="1"/>
    <w:next w:val="1"/>
    <w:unhideWhenUsed/>
    <w:qFormat/>
    <w:uiPriority w:val="0"/>
    <w:pPr>
      <w:keepNext/>
      <w:keepLines/>
      <w:outlineLvl w:val="1"/>
    </w:pPr>
    <w:rPr>
      <w:rFonts w:ascii="Calibri Light" w:hAnsi="Calibri Light" w:eastAsia="黑体"/>
      <w:b/>
      <w:bCs/>
      <w:szCs w:val="32"/>
    </w:rPr>
  </w:style>
  <w:style w:type="paragraph" w:styleId="4">
    <w:name w:val="heading 3"/>
    <w:basedOn w:val="1"/>
    <w:next w:val="1"/>
    <w:unhideWhenUsed/>
    <w:qFormat/>
    <w:uiPriority w:val="0"/>
    <w:pPr>
      <w:keepNext/>
      <w:keepLines/>
      <w:ind w:right="238"/>
      <w:jc w:val="left"/>
      <w:outlineLvl w:val="2"/>
    </w:pPr>
    <w:rPr>
      <w:b/>
      <w:bCs/>
      <w:szCs w:val="32"/>
    </w:rPr>
  </w:style>
  <w:style w:type="paragraph" w:styleId="5">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6">
    <w:name w:val="Balloon Text"/>
    <w:basedOn w:val="1"/>
    <w:link w:val="13"/>
    <w:uiPriority w:val="0"/>
    <w:pPr>
      <w:spacing w:before="0" w:after="0" w:line="240" w:lineRule="auto"/>
    </w:pPr>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0"/>
    <w:pPr>
      <w:tabs>
        <w:tab w:val="right" w:leader="dot" w:pos="8834"/>
      </w:tabs>
      <w:spacing w:before="163" w:after="163"/>
      <w:ind w:left="480" w:leftChars="200"/>
      <w:jc w:val="center"/>
    </w:pPr>
    <w:rPr>
      <w:rFonts w:ascii="方正小标宋_GBK" w:eastAsia="方正小标宋_GBK"/>
    </w:rPr>
  </w:style>
  <w:style w:type="paragraph" w:customStyle="1" w:styleId="12">
    <w:name w:val="列出段落1"/>
    <w:basedOn w:val="1"/>
    <w:qFormat/>
    <w:uiPriority w:val="0"/>
    <w:pPr>
      <w:ind w:firstLine="420" w:firstLineChars="200"/>
    </w:pPr>
  </w:style>
  <w:style w:type="character" w:customStyle="1" w:styleId="13">
    <w:name w:val="批注框文本 Char"/>
    <w:basedOn w:val="11"/>
    <w:link w:val="6"/>
    <w:qFormat/>
    <w:uiPriority w:val="0"/>
    <w:rPr>
      <w:rFonts w:ascii="仿宋_GB2312" w:hAnsi="Calibri" w:eastAsia="仿宋_GB2312" w:cs="黑体"/>
      <w:kern w:val="2"/>
      <w:sz w:val="18"/>
      <w:szCs w:val="18"/>
    </w:rPr>
  </w:style>
  <w:style w:type="character" w:customStyle="1" w:styleId="14">
    <w:name w:val="页脚 Char"/>
    <w:basedOn w:val="11"/>
    <w:link w:val="7"/>
    <w:qFormat/>
    <w:uiPriority w:val="99"/>
    <w:rPr>
      <w:rFonts w:ascii="仿宋_GB2312" w:hAnsi="Calibri" w:eastAsia="仿宋_GB2312"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2B817-43B2-4A81-BC05-BFE4824F1104}">
  <ds:schemaRefs/>
</ds:datastoreItem>
</file>

<file path=docProps/app.xml><?xml version="1.0" encoding="utf-8"?>
<Properties xmlns="http://schemas.openxmlformats.org/officeDocument/2006/extended-properties" xmlns:vt="http://schemas.openxmlformats.org/officeDocument/2006/docPropsVTypes">
  <Template>Normal</Template>
  <Pages>41</Pages>
  <Words>1551</Words>
  <Characters>1829</Characters>
  <Lines>155</Lines>
  <Paragraphs>43</Paragraphs>
  <TotalTime>1</TotalTime>
  <ScaleCrop>false</ScaleCrop>
  <LinksUpToDate>false</LinksUpToDate>
  <CharactersWithSpaces>1840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2016-04-14T03:47:00Z</dcterms:created>
  <dc:creator>woe</dc:creator>
  <cp:lastModifiedBy>WPS_1740388125</cp:lastModifiedBy>
  <dcterms:modified xsi:type="dcterms:W3CDTF">2025-12-10T07:28:40Z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E9BDD95225274911B87E13E1A5921508</vt:lpwstr>
  </property>
  <property fmtid="{D5CDD505-2E9C-101B-9397-08002B2CF9AE}" pid="4" name="KSOTemplateDocerSaveRecord">
    <vt:lpwstr>eyJoZGlkIjoiY2I0MmNmY2JlZjI4ZmYxYjFhZDYyYThlM2ZhMzZlNWYiLCJ1c2VySWQiOiIxNjc5ODMzNzI3In0=</vt:lpwstr>
  </property>
</Properties>
</file>