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2025222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袁狄平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您好，您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关于规划建设集停、换、充及安消一体化的电动自行车智慧型场站的建议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2025222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进行了认真研究，现答复如下：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我办电动自行车充电设施停、换、充工作概况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坚持安全设施规范化原则。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我办坚持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在既有居民住宅小区内督促物业利用公共空间设置场所设施，按要求配备足量合规设施，如水基灭火器、干粉灭火球、喷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淋系统、专用配电箱、烟雾报警器、火灾自动报警系统、视频监控系统等，同时做好运营商管理信息公示和“街道-物业-运营商”三方日常管理巡查记录。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坚持“疏堵结合”原则。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电动自行车乱停放问题，街道一是持续通过“路面巡逻+视频巡查”相结合开展路面非机动车停放秩序督导工作，维护路面市容环境整洁；二是通过排查商业中心、办公楼宇、居住小区等区域内部可挖潜增供非机动车停放的空间，协调增设停放设施并推动电动自行车“入园入企入小区”停放，减少路面电动车停放数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坚持三级联动高效协同原则。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街道已建立街道-消防火灾报警信息共享机制、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“135”应急救援机制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，实现街道、社区及时了解情况，</w:t>
      </w:r>
      <w:r>
        <w:rPr>
          <w:rFonts w:hint="eastAsia" w:ascii="仿宋_GB2312" w:hAnsi="仿宋_GB2312" w:eastAsia="仿宋_GB2312" w:cs="仿宋_GB2312"/>
          <w:sz w:val="32"/>
          <w:szCs w:val="32"/>
        </w:rPr>
        <w:t>1分钟确认警情、3分钟内出动第一救援力量、5分钟内出动第二救援力量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、消防救援人员缩短火场到场时间、灭早灭小灭初期的目标。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深化场所规划布局，推进既有区域改造升级。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我办将根据居民出行规律和充电需求，在辖区内划分充电热点区域，优化充电设施布局，避免资源浪费。二是协调辖区内企事业单位、商场等主体，开放内部停车场资源，增设电动自行车充电设施。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掌握消防最新标准，强化技防物防措施建设。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按照最新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消防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标准要求，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督促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辖区内充电场所消防设施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升级改造，确保消防设施功能可靠。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完善联动响应机制，建立快速处置救援通道。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我办将加强应急一体化队伍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学习、比武、应急演练、救援处置，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持续</w:t>
      </w:r>
      <w:r>
        <w:rPr>
          <w:rFonts w:hint="eastAsia" w:ascii="仿宋_GB2312" w:hAnsi="仿宋_GB2312" w:eastAsia="仿宋_GB2312" w:cs="仿宋_GB2312"/>
          <w:sz w:val="32"/>
          <w:szCs w:val="32"/>
        </w:rPr>
        <w:t>提升队伍联合作战能力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。我办将加强与辖区消防站建立联动机制，确保火灾发生后能够快速响应、有效处置。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（此页无正文）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13502812959）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A384A5"/>
    <w:multiLevelType w:val="singleLevel"/>
    <w:tmpl w:val="0AA384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B7A969A"/>
    <w:multiLevelType w:val="singleLevel"/>
    <w:tmpl w:val="2B7A96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1CFAEE50"/>
    <w:rsid w:val="1DB44117"/>
    <w:rsid w:val="28867C4B"/>
    <w:rsid w:val="31426CF4"/>
    <w:rsid w:val="33225FEC"/>
    <w:rsid w:val="333402A0"/>
    <w:rsid w:val="3F5E627C"/>
    <w:rsid w:val="40AD1056"/>
    <w:rsid w:val="411F04FE"/>
    <w:rsid w:val="429A3840"/>
    <w:rsid w:val="440B0B32"/>
    <w:rsid w:val="45C36149"/>
    <w:rsid w:val="4B432F41"/>
    <w:rsid w:val="4C2C2D50"/>
    <w:rsid w:val="4D724A9B"/>
    <w:rsid w:val="4FB61588"/>
    <w:rsid w:val="53E305A8"/>
    <w:rsid w:val="54E93794"/>
    <w:rsid w:val="5C3029C3"/>
    <w:rsid w:val="5E50709F"/>
    <w:rsid w:val="65B92611"/>
    <w:rsid w:val="68A65F6E"/>
    <w:rsid w:val="6C3E0FE0"/>
    <w:rsid w:val="75365F80"/>
    <w:rsid w:val="75C604E8"/>
    <w:rsid w:val="7BFE698B"/>
    <w:rsid w:val="7CAE7EF4"/>
    <w:rsid w:val="7DF779F6"/>
    <w:rsid w:val="D5BFA021"/>
    <w:rsid w:val="E3B629A9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1"/>
    <w:basedOn w:val="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2024-03-22T15:54:00Z</dcterms:created>
  <dc:creator>xmh01</dc:creator>
  <cp:lastModifiedBy>汪鹏飞</cp:lastModifiedBy>
  <cp:lastPrinted>2025-04-10T01:25:00Z</cp:lastPrinted>
  <dcterms:modified xsi:type="dcterms:W3CDTF">2025-08-21T09:57:03Z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EAD113CFCF344E019A5AD4E2F620C1B4</vt:lpwstr>
  </property>
</Properties>
</file>