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before="157" w:beforeLines="50" w:after="157" w:afterLines="50" w:line="600" w:lineRule="exact"/>
        <w:jc w:val="center"/>
        <w:textAlignment w:val="auto"/>
        <w:rPr>
          <w:rFonts w:hint="eastAsia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福保街道关于深圳市福田区第八届人民代表大会第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五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次会议代表建议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第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20250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062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号</w:t>
      </w:r>
      <w:r>
        <w:rPr>
          <w:rFonts w:hint="eastAsia" w:ascii="方正小标宋简体" w:eastAsia="方正小标宋简体"/>
          <w:sz w:val="44"/>
          <w:szCs w:val="44"/>
        </w:rPr>
        <w:t>《关于“僵尸车”抢占公共空间引发安全隐患问题的建议》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的会办意见</w:t>
      </w:r>
    </w:p>
    <w:p>
      <w:pPr>
        <w:jc w:val="both"/>
        <w:rPr>
          <w:rFonts w:hint="eastAsia"/>
        </w:rPr>
      </w:pPr>
    </w:p>
    <w:p>
      <w:pPr>
        <w:jc w:val="both"/>
        <w:rPr>
          <w:rFonts w:hint="eastAsia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市交通运输局福田管理局：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仿宋_GB2312" w:eastAsia="仿宋_GB2312"/>
          <w:kern w:val="2"/>
          <w:sz w:val="32"/>
          <w:szCs w:val="32"/>
          <w:lang w:bidi="ar-SA"/>
        </w:rPr>
      </w:pPr>
      <w:r>
        <w:rPr>
          <w:rFonts w:hint="eastAsia" w:ascii="仿宋_GB2312" w:eastAsia="仿宋_GB2312"/>
          <w:sz w:val="32"/>
          <w:szCs w:val="32"/>
        </w:rPr>
        <w:t>《关于“僵尸车”抢占公共空间引发安全隐患问题的建议》</w:t>
      </w:r>
      <w:r>
        <w:rPr>
          <w:rFonts w:hint="eastAsia" w:ascii="仿宋_GB2312" w:eastAsia="仿宋_GB2312"/>
          <w:kern w:val="2"/>
          <w:sz w:val="32"/>
          <w:szCs w:val="32"/>
          <w:lang w:eastAsia="zh-CN" w:bidi="ar-SA"/>
        </w:rPr>
        <w:t>收悉。</w:t>
      </w:r>
      <w:r>
        <w:rPr>
          <w:rFonts w:ascii="仿宋_GB2312" w:eastAsia="仿宋_GB2312"/>
          <w:kern w:val="2"/>
          <w:sz w:val="32"/>
          <w:szCs w:val="32"/>
          <w:lang w:bidi="ar-SA"/>
        </w:rPr>
        <w:t>经研究，现将有关意见答复如下：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目前，我街道结合电动自行车全链条整治工作、违停机动车巡查工作，强化清理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“僵尸车”。在行动中，已清理城中村僵尸车（非机动车）100余辆，物业小区僵尸车（非机动车）60余辆。而在整治过程中，主要依赖于人工目视识别，缺乏法律层面的明确界定，特别是小区内出现部分机动车无牌照、虽有牌照却难以联系到车主，实施主体不明等情况，给整治工作极大困难。因此，对于“（四）</w:t>
      </w:r>
      <w:r>
        <w:rPr>
          <w:rFonts w:hint="eastAsia" w:eastAsia="仿宋_GB2312"/>
          <w:sz w:val="32"/>
          <w:szCs w:val="32"/>
          <w:vertAlign w:val="baseline"/>
          <w:lang w:val="en-US" w:eastAsia="zh-CN"/>
        </w:rPr>
        <w:t>健全治理机制，形成工作合力</w:t>
      </w:r>
      <w: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  <w:t>”中，小区内的僵尸车处理，需要在立法方面明确处置主体，以及处置流程等具体内容，便于基层开展处置工作。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特此函复。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center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</w:t>
      </w:r>
      <w:r>
        <w:rPr>
          <w:rFonts w:hint="eastAsia" w:ascii="仿宋_GB2312" w:eastAsia="仿宋_GB2312"/>
          <w:sz w:val="32"/>
          <w:szCs w:val="32"/>
        </w:rPr>
        <w:t>福田区福保街道办事处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center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</w:t>
      </w:r>
      <w:r>
        <w:rPr>
          <w:rFonts w:hint="eastAsia" w:ascii="仿宋_GB2312" w:eastAsia="仿宋_GB2312"/>
          <w:sz w:val="32"/>
          <w:szCs w:val="32"/>
        </w:rPr>
        <w:t>2025年4月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24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default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（联系人：温家铭</w:t>
      </w:r>
      <w:r>
        <w:rPr>
          <w:rFonts w:hint="eastAsia"/>
          <w:sz w:val="32"/>
          <w:szCs w:val="32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16620873984）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VkMGZlYWJjZWMzOTY2YTRiMTNmZTEzZjkxMmVlM2YifQ=="/>
  </w:docVars>
  <w:rsids>
    <w:rsidRoot w:val="68A647A2"/>
    <w:rsid w:val="0D100737"/>
    <w:rsid w:val="11A56967"/>
    <w:rsid w:val="1AD82233"/>
    <w:rsid w:val="1C6C1627"/>
    <w:rsid w:val="20A15CB6"/>
    <w:rsid w:val="301520B7"/>
    <w:rsid w:val="30C34E25"/>
    <w:rsid w:val="31D61798"/>
    <w:rsid w:val="353A393C"/>
    <w:rsid w:val="3BA03120"/>
    <w:rsid w:val="3D4A58BD"/>
    <w:rsid w:val="4A9741FE"/>
    <w:rsid w:val="503F4DC3"/>
    <w:rsid w:val="66810990"/>
    <w:rsid w:val="68A647A2"/>
    <w:rsid w:val="69734A99"/>
    <w:rsid w:val="6DD334A6"/>
    <w:rsid w:val="747B2FC0"/>
    <w:rsid w:val="7BBA2DC5"/>
    <w:rsid w:val="7D533DE6"/>
    <w:rsid w:val="7FFFB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仿宋_GB2312" w:eastAsia="仿宋_GB2312" w:cs="仿宋_GB2312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6">
    <w:name w:val="样式4"/>
    <w:basedOn w:val="1"/>
    <w:next w:val="1"/>
    <w:qFormat/>
    <w:uiPriority w:val="0"/>
    <w:rPr>
      <w:rFonts w:hint="eastAsia"/>
    </w:rPr>
  </w:style>
  <w:style w:type="paragraph" w:customStyle="1" w:styleId="7">
    <w:name w:val="样式6"/>
    <w:basedOn w:val="1"/>
    <w:next w:val="1"/>
    <w:qFormat/>
    <w:uiPriority w:val="0"/>
    <w:pPr>
      <w:keepNext/>
      <w:keepLines/>
      <w:spacing w:before="340" w:beforeLines="0" w:after="330" w:afterLines="0" w:line="240" w:lineRule="auto"/>
      <w:outlineLvl w:val="0"/>
    </w:pPr>
    <w:rPr>
      <w:rFonts w:hint="eastAsia"/>
      <w:kern w:val="44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2022-05-07T11:05:00Z</dcterms:created>
  <dc:creator>Administrator</dc:creator>
  <cp:lastModifiedBy>Administrator</cp:lastModifiedBy>
  <dcterms:modified xsi:type="dcterms:W3CDTF">2025-12-29T02:03:48Z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DD4DF48BD13C427E825CE7A0C1649F7B</vt:lpwstr>
  </property>
</Properties>
</file>