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20250086号《关于进一步加强电动自行车管理整治的建议》的会办意见</w:t>
      </w:r>
      <w:bookmarkEnd w:id="0"/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市公安局交通警察支队福田大队：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《关于进一步加强电动自行车管理整治的建议》收悉。经认真研阅，有关意见回复如下：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目前，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我街道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正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积极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采取措施从销售、上牌、行驶、充换电、停放等方面开展电动自行车全链条整治工作，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已划设非机动车停放区域超35000米，面积约20000㎡，预计多可停放15000台非机动车，已分区域联合福民交警中队、各社（园）区开展涉电动自行车违规骑行整治行动。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同时，新的《深圳市电动自行车管理条例》不日将发布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我街道将联合交警、交通、市监等部门落实电动自行车管理工作。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特此函复。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福田区福保街道办事处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2025年4月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（联系人：温家铭 16620873984）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D100737"/>
    <w:rsid w:val="11A56967"/>
    <w:rsid w:val="30C34E25"/>
    <w:rsid w:val="31D61798"/>
    <w:rsid w:val="3BA03120"/>
    <w:rsid w:val="3D4A58BD"/>
    <w:rsid w:val="66810990"/>
    <w:rsid w:val="68A647A2"/>
    <w:rsid w:val="69734A99"/>
    <w:rsid w:val="6DD334A6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样式4"/>
    <w:basedOn w:val="1"/>
    <w:next w:val="1"/>
    <w:qFormat/>
    <w:uiPriority w:val="0"/>
    <w:rPr>
      <w:rFonts w:hint="eastAsia"/>
    </w:rPr>
  </w:style>
  <w:style w:type="paragraph" w:customStyle="1" w:styleId="7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2025-04-27T06:15:07Z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498098F3DE1A41E0B4D344163F6426B1</vt:lpwstr>
  </property>
</Properties>
</file>