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20250298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关于加强对业主委员会及物业管理公司的监管、防止及减少物业纠纷的建议</w:t>
      </w:r>
      <w:r>
        <w:rPr>
          <w:rFonts w:hint="eastAsia" w:ascii="方正小标宋简体" w:eastAsia="方正小标宋简体"/>
          <w:sz w:val="44"/>
          <w:szCs w:val="44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color w:val="auto"/>
          <w:lang w:val="en-US" w:eastAsia="zh-CN"/>
        </w:rPr>
        <w:t>福田区住房和建设局：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《关于加强对业主委员会及物业管理公司的监管、防止及减少物业纠纷的建议》收悉。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一、关于全面排查与加强监管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赞同全面开展辖区业主委员会及物业管理合法性、规范性排查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工作，并在接下来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启动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相关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专项行动。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二、关于明确部门职责与建立联席机制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街道将积极配合主办单位开展关于“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明确各部门职责、建立联席机制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”相关工作，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确保在处理物业纠纷时能够形成合力，高效应对，使纠纷得到及时、公正的处理。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三、关于建立多方调解机制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支持建立物业纠纷多方调解机制，充分发挥各方作用，及时介入纠纷苗头，避免事态蔓延与恶化。设立专项协调机制，寻求切实可行的方案解决历史遗留问题，并确保纠纷处理过程的透明度与公正性。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四、关于加强源头研究与推动立法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街道高度重视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加强物业纠纷源头研究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工作，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将组织专业团队，对普遍存在的法律法规漏洞进行深入剖析，形成推动立法的建议，推动深圳制定地方专项法规和物业管理法治化进程。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同时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，建议未来在修订物业管理相关法律法规时，可以增加一些规范业主委员会行为的条款。因业主委员会作为业主的执行机构，其行为直接关系到业主的切身利益和物业管理的整体质量，故在法律法规中明确其职责、权利和义务，增加一些规范其行为的约束条款，对于规范业主委员会运作、保障业主权益具有重要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物业管理工作的改进与完善是一个长期而系统的过程，需要各方的共同努力与持续监督。接下来，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将以建议为指引，不断优化工作流程，提升服务质量，努力为业主创造更加和谐、安全的居住环境。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福保街道办事处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2025年4月22日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AD82233"/>
    <w:rsid w:val="1C6C1627"/>
    <w:rsid w:val="20A15CB6"/>
    <w:rsid w:val="30C34E25"/>
    <w:rsid w:val="31D61798"/>
    <w:rsid w:val="353A393C"/>
    <w:rsid w:val="3BA03120"/>
    <w:rsid w:val="3D4A58BD"/>
    <w:rsid w:val="479D6C6F"/>
    <w:rsid w:val="4A9741FE"/>
    <w:rsid w:val="503F4DC3"/>
    <w:rsid w:val="66810990"/>
    <w:rsid w:val="68A647A2"/>
    <w:rsid w:val="69734A99"/>
    <w:rsid w:val="6DD334A6"/>
    <w:rsid w:val="72F97E58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4"/>
    <w:basedOn w:val="1"/>
    <w:next w:val="1"/>
    <w:qFormat/>
    <w:uiPriority w:val="0"/>
    <w:rPr>
      <w:rFonts w:hint="eastAsia"/>
    </w:rPr>
  </w:style>
  <w:style w:type="paragraph" w:customStyle="1" w:styleId="8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2025-04-27T06:53:30Z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AF5E00EDA705439AA089E23075B0CDB0</vt:lpwstr>
  </property>
</Properties>
</file>