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adjustRightInd w:val="0"/>
        <w:snapToGrid w:val="0"/>
        <w:spacing w:line="579" w:lineRule="exact"/>
        <w:jc w:val="right"/>
        <w:rPr>
          <w:rFonts w:hint="eastAsia" w:ascii="仿宋_GB2312" w:hAnsi="仿宋_GB2312" w:eastAsia="仿宋_GB2312" w:cs="仿宋_GB2312"/>
          <w:sz w:val="32"/>
          <w:szCs w:val="32"/>
        </w:rPr>
      </w:pPr>
    </w:p>
    <w:p>
      <w:pPr>
        <w:wordWrap w:val="0"/>
        <w:adjustRightInd w:val="0"/>
        <w:snapToGrid w:val="0"/>
        <w:spacing w:line="579" w:lineRule="exact"/>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kinsoku/>
        <w:wordWrap w:val="0"/>
        <w:overflowPunct/>
        <w:topLinePunct w:val="0"/>
        <w:autoSpaceDE/>
        <w:autoSpaceDN/>
        <w:bidi w:val="0"/>
        <w:adjustRightInd w:val="0"/>
        <w:snapToGrid w:val="0"/>
        <w:spacing w:beforeAutospacing="0" w:afterAutospacing="0" w:line="579" w:lineRule="exact"/>
        <w:ind w:left="0" w:leftChars="0" w:right="0" w:rightChars="0"/>
        <w:jc w:val="right"/>
        <w:textAlignment w:val="auto"/>
        <w:outlineLvl w:val="9"/>
        <w:rPr>
          <w:rFonts w:hint="eastAsia" w:ascii="仿宋_GB2312" w:hAnsi="仿宋_GB2312" w:eastAsia="仿宋_GB2312" w:cs="仿宋_GB2312"/>
          <w:spacing w:val="-6"/>
          <w:sz w:val="32"/>
          <w:szCs w:val="32"/>
        </w:rPr>
      </w:pPr>
      <w:r>
        <w:rPr>
          <w:rFonts w:hint="eastAsia" w:ascii="仿宋_GB2312" w:hAnsi="仿宋_GB2312" w:eastAsia="仿宋_GB2312" w:cs="仿宋_GB2312"/>
          <w:spacing w:val="-6"/>
          <w:sz w:val="32"/>
          <w:szCs w:val="32"/>
        </w:rPr>
        <w:t>深福建函〔2025〕142号</w:t>
      </w:r>
    </w:p>
    <w:p>
      <w:pPr>
        <w:keepNext w:val="0"/>
        <w:keepLines w:val="0"/>
        <w:pageBreakBefore w:val="0"/>
        <w:widowControl w:val="0"/>
        <w:kinsoku/>
        <w:wordWrap w:val="0"/>
        <w:overflowPunct/>
        <w:topLinePunct w:val="0"/>
        <w:autoSpaceDE/>
        <w:autoSpaceDN/>
        <w:bidi w:val="0"/>
        <w:adjustRightInd w:val="0"/>
        <w:snapToGrid w:val="0"/>
        <w:spacing w:beforeAutospacing="0" w:afterAutospacing="0" w:line="579" w:lineRule="exact"/>
        <w:ind w:left="0" w:leftChars="0" w:right="0" w:rightChars="0"/>
        <w:jc w:val="right"/>
        <w:textAlignment w:val="auto"/>
        <w:outlineLvl w:val="9"/>
        <w:rPr>
          <w:rFonts w:hint="eastAsia" w:ascii="仿宋_GB2312" w:hAnsi="仿宋_GB2312" w:eastAsia="仿宋_GB2312" w:cs="仿宋_GB2312"/>
          <w:spacing w:val="-6"/>
          <w:sz w:val="32"/>
          <w:szCs w:val="32"/>
        </w:rPr>
      </w:pPr>
    </w:p>
    <w:p>
      <w:pPr>
        <w:keepNext w:val="0"/>
        <w:keepLines w:val="0"/>
        <w:pageBreakBefore w:val="0"/>
        <w:widowControl w:val="0"/>
        <w:kinsoku/>
        <w:wordWrap w:val="0"/>
        <w:overflowPunct/>
        <w:topLinePunct w:val="0"/>
        <w:autoSpaceDE/>
        <w:autoSpaceDN/>
        <w:bidi w:val="0"/>
        <w:adjustRightInd w:val="0"/>
        <w:snapToGrid w:val="0"/>
        <w:spacing w:beforeAutospacing="0" w:afterAutospacing="0" w:line="579" w:lineRule="exact"/>
        <w:ind w:left="0" w:leftChars="0" w:right="0" w:rightChars="0"/>
        <w:jc w:val="center"/>
        <w:textAlignment w:val="auto"/>
        <w:outlineLvl w:val="9"/>
        <w:rPr>
          <w:rFonts w:hint="eastAsia" w:ascii="方正小标宋简体" w:hAnsi="方正小标宋简体" w:eastAsia="方正小标宋简体" w:cs="方正小标宋简体"/>
          <w:snapToGrid w:val="0"/>
          <w:spacing w:val="0"/>
          <w:sz w:val="44"/>
          <w:szCs w:val="44"/>
        </w:rPr>
      </w:pPr>
      <w:r>
        <w:rPr>
          <w:rFonts w:hint="eastAsia" w:ascii="方正小标宋简体" w:hAnsi="方正小标宋简体" w:eastAsia="方正小标宋简体" w:cs="方正小标宋简体"/>
          <w:snapToGrid w:val="0"/>
          <w:spacing w:val="0"/>
          <w:sz w:val="44"/>
          <w:szCs w:val="44"/>
          <w:lang w:val="en-US" w:eastAsia="zh-CN"/>
        </w:rPr>
        <w:t>深圳市</w:t>
      </w:r>
      <w:r>
        <w:rPr>
          <w:rFonts w:hint="eastAsia" w:ascii="方正小标宋简体" w:hAnsi="方正小标宋简体" w:eastAsia="方正小标宋简体" w:cs="方正小标宋简体"/>
          <w:snapToGrid w:val="0"/>
          <w:spacing w:val="0"/>
          <w:sz w:val="44"/>
          <w:szCs w:val="44"/>
        </w:rPr>
        <w:t>福田区</w:t>
      </w:r>
      <w:r>
        <w:rPr>
          <w:rFonts w:hint="eastAsia" w:ascii="方正小标宋简体" w:hAnsi="方正小标宋简体" w:eastAsia="方正小标宋简体" w:cs="方正小标宋简体"/>
          <w:snapToGrid w:val="0"/>
          <w:spacing w:val="0"/>
          <w:sz w:val="44"/>
          <w:szCs w:val="44"/>
          <w:lang w:val="en-US" w:eastAsia="zh-CN"/>
        </w:rPr>
        <w:t>住房和建设局</w:t>
      </w:r>
      <w:r>
        <w:rPr>
          <w:rFonts w:hint="eastAsia" w:ascii="方正小标宋简体" w:hAnsi="方正小标宋简体" w:eastAsia="方正小标宋简体" w:cs="方正小标宋简体"/>
          <w:snapToGrid w:val="0"/>
          <w:spacing w:val="0"/>
          <w:sz w:val="44"/>
          <w:szCs w:val="44"/>
        </w:rPr>
        <w:t>对</w:t>
      </w:r>
      <w:r>
        <w:rPr>
          <w:rFonts w:hint="eastAsia" w:ascii="方正小标宋简体" w:hAnsi="方正小标宋简体" w:eastAsia="方正小标宋简体" w:cs="方正小标宋简体"/>
          <w:snapToGrid w:val="0"/>
          <w:spacing w:val="0"/>
          <w:sz w:val="44"/>
          <w:szCs w:val="44"/>
          <w:lang w:val="en-US" w:eastAsia="zh-CN"/>
        </w:rPr>
        <w:t>福田区</w:t>
      </w:r>
      <w:bookmarkStart w:id="1" w:name="_GoBack"/>
      <w:bookmarkEnd w:id="1"/>
    </w:p>
    <w:p>
      <w:pPr>
        <w:keepNext w:val="0"/>
        <w:keepLines w:val="0"/>
        <w:pageBreakBefore w:val="0"/>
        <w:widowControl w:val="0"/>
        <w:kinsoku/>
        <w:wordWrap w:val="0"/>
        <w:overflowPunct/>
        <w:topLinePunct w:val="0"/>
        <w:autoSpaceDE/>
        <w:autoSpaceDN/>
        <w:bidi w:val="0"/>
        <w:adjustRightInd w:val="0"/>
        <w:snapToGrid w:val="0"/>
        <w:spacing w:beforeAutospacing="0" w:afterAutospacing="0" w:line="579" w:lineRule="exact"/>
        <w:ind w:left="0" w:leftChars="0" w:right="0" w:rightChars="0"/>
        <w:jc w:val="center"/>
        <w:textAlignment w:val="auto"/>
        <w:outlineLvl w:val="9"/>
        <w:rPr>
          <w:rFonts w:hint="eastAsia" w:ascii="方正小标宋简体" w:hAnsi="方正小标宋简体" w:eastAsia="方正小标宋简体" w:cs="方正小标宋简体"/>
          <w:snapToGrid w:val="0"/>
          <w:spacing w:val="0"/>
          <w:sz w:val="44"/>
          <w:szCs w:val="44"/>
        </w:rPr>
      </w:pPr>
      <w:r>
        <w:rPr>
          <w:rFonts w:hint="eastAsia" w:ascii="方正小标宋简体" w:hAnsi="方正小标宋简体" w:eastAsia="方正小标宋简体" w:cs="方正小标宋简体"/>
          <w:snapToGrid w:val="0"/>
          <w:spacing w:val="0"/>
          <w:sz w:val="44"/>
          <w:szCs w:val="44"/>
        </w:rPr>
        <w:t>第</w:t>
      </w:r>
      <w:r>
        <w:rPr>
          <w:rFonts w:hint="eastAsia" w:ascii="方正小标宋简体" w:hAnsi="方正小标宋简体" w:eastAsia="方正小标宋简体" w:cs="方正小标宋简体"/>
          <w:snapToGrid w:val="0"/>
          <w:spacing w:val="0"/>
          <w:sz w:val="44"/>
          <w:szCs w:val="44"/>
          <w:lang w:val="en-US" w:eastAsia="zh-CN"/>
        </w:rPr>
        <w:t>八</w:t>
      </w:r>
      <w:r>
        <w:rPr>
          <w:rFonts w:hint="eastAsia" w:ascii="方正小标宋简体" w:hAnsi="方正小标宋简体" w:eastAsia="方正小标宋简体" w:cs="方正小标宋简体"/>
          <w:snapToGrid w:val="0"/>
          <w:spacing w:val="0"/>
          <w:sz w:val="44"/>
          <w:szCs w:val="44"/>
        </w:rPr>
        <w:t>届人民代表大会第</w:t>
      </w:r>
      <w:r>
        <w:rPr>
          <w:rFonts w:hint="eastAsia" w:ascii="方正小标宋简体" w:hAnsi="方正小标宋简体" w:eastAsia="方正小标宋简体" w:cs="方正小标宋简体"/>
          <w:snapToGrid w:val="0"/>
          <w:spacing w:val="0"/>
          <w:sz w:val="44"/>
          <w:szCs w:val="44"/>
          <w:lang w:val="en-US" w:eastAsia="zh-CN"/>
        </w:rPr>
        <w:t>五</w:t>
      </w:r>
      <w:r>
        <w:rPr>
          <w:rFonts w:hint="eastAsia" w:ascii="方正小标宋简体" w:hAnsi="方正小标宋简体" w:eastAsia="方正小标宋简体" w:cs="方正小标宋简体"/>
          <w:snapToGrid w:val="0"/>
          <w:spacing w:val="0"/>
          <w:sz w:val="44"/>
          <w:szCs w:val="44"/>
        </w:rPr>
        <w:t>次会议</w:t>
      </w:r>
    </w:p>
    <w:p>
      <w:pPr>
        <w:keepNext w:val="0"/>
        <w:keepLines w:val="0"/>
        <w:pageBreakBefore w:val="0"/>
        <w:widowControl w:val="0"/>
        <w:kinsoku/>
        <w:wordWrap w:val="0"/>
        <w:overflowPunct/>
        <w:topLinePunct w:val="0"/>
        <w:autoSpaceDE/>
        <w:autoSpaceDN/>
        <w:bidi w:val="0"/>
        <w:adjustRightInd w:val="0"/>
        <w:snapToGrid w:val="0"/>
        <w:spacing w:beforeAutospacing="0" w:afterAutospacing="0" w:line="579" w:lineRule="exact"/>
        <w:ind w:left="0" w:leftChars="0" w:right="0" w:rightChars="0"/>
        <w:jc w:val="center"/>
        <w:textAlignment w:val="auto"/>
        <w:outlineLvl w:val="9"/>
        <w:rPr>
          <w:rFonts w:hint="eastAsia" w:ascii="方正小标宋简体" w:hAnsi="方正小标宋简体" w:eastAsia="方正小标宋简体" w:cs="方正小标宋简体"/>
          <w:snapToGrid w:val="0"/>
          <w:spacing w:val="0"/>
          <w:sz w:val="44"/>
          <w:szCs w:val="44"/>
        </w:rPr>
      </w:pPr>
      <w:r>
        <w:rPr>
          <w:rFonts w:hint="eastAsia" w:ascii="方正小标宋简体" w:hAnsi="方正小标宋简体" w:eastAsia="方正小标宋简体" w:cs="方正小标宋简体"/>
          <w:snapToGrid w:val="0"/>
          <w:spacing w:val="0"/>
          <w:sz w:val="44"/>
          <w:szCs w:val="44"/>
        </w:rPr>
        <w:t>第</w:t>
      </w:r>
      <w:r>
        <w:rPr>
          <w:rFonts w:hint="eastAsia" w:ascii="方正小标宋简体" w:hAnsi="方正小标宋简体" w:eastAsia="方正小标宋简体" w:cs="方正小标宋简体"/>
          <w:snapToGrid w:val="0"/>
          <w:spacing w:val="0"/>
          <w:sz w:val="44"/>
          <w:szCs w:val="44"/>
          <w:lang w:val="en-US" w:eastAsia="zh-CN"/>
        </w:rPr>
        <w:t>20250137</w:t>
      </w:r>
      <w:r>
        <w:rPr>
          <w:rFonts w:hint="eastAsia" w:ascii="方正小标宋简体" w:hAnsi="方正小标宋简体" w:eastAsia="方正小标宋简体" w:cs="方正小标宋简体"/>
          <w:snapToGrid w:val="0"/>
          <w:spacing w:val="0"/>
          <w:sz w:val="44"/>
          <w:szCs w:val="44"/>
        </w:rPr>
        <w:t>号</w:t>
      </w:r>
      <w:r>
        <w:rPr>
          <w:rFonts w:hint="eastAsia" w:ascii="方正小标宋简体" w:hAnsi="方正小标宋简体" w:eastAsia="方正小标宋简体" w:cs="方正小标宋简体"/>
          <w:snapToGrid w:val="0"/>
          <w:spacing w:val="0"/>
          <w:sz w:val="44"/>
          <w:szCs w:val="44"/>
          <w:lang w:eastAsia="zh-CN"/>
        </w:rPr>
        <w:t>建议</w:t>
      </w:r>
      <w:r>
        <w:rPr>
          <w:rFonts w:hint="eastAsia" w:ascii="方正小标宋简体" w:hAnsi="方正小标宋简体" w:eastAsia="方正小标宋简体" w:cs="方正小标宋简体"/>
          <w:snapToGrid w:val="0"/>
          <w:spacing w:val="0"/>
          <w:sz w:val="44"/>
          <w:szCs w:val="44"/>
        </w:rPr>
        <w:t>的答复</w:t>
      </w:r>
    </w:p>
    <w:p>
      <w:pPr>
        <w:keepNext w:val="0"/>
        <w:keepLines w:val="0"/>
        <w:pageBreakBefore w:val="0"/>
        <w:widowControl w:val="0"/>
        <w:kinsoku/>
        <w:wordWrap w:val="0"/>
        <w:overflowPunct/>
        <w:topLinePunct w:val="0"/>
        <w:autoSpaceDE/>
        <w:autoSpaceDN/>
        <w:bidi w:val="0"/>
        <w:adjustRightInd w:val="0"/>
        <w:snapToGrid w:val="0"/>
        <w:spacing w:beforeAutospacing="0" w:afterAutospacing="0" w:line="579" w:lineRule="exact"/>
        <w:ind w:left="0" w:leftChars="0" w:right="0" w:rightChars="0"/>
        <w:jc w:val="both"/>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autoSpaceDE/>
        <w:autoSpaceDN/>
        <w:bidi w:val="0"/>
        <w:adjustRightInd w:val="0"/>
        <w:snapToGrid w:val="0"/>
        <w:spacing w:beforeAutospacing="0" w:afterAutospacing="0" w:line="579" w:lineRule="exact"/>
        <w:ind w:left="0" w:leftChars="0" w:right="0" w:rightChars="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尊敬的林耀辉、乔茵等代表</w:t>
      </w:r>
      <w:r>
        <w:rPr>
          <w:rFonts w:hint="eastAsia" w:ascii="仿宋_GB2312" w:hAnsi="仿宋_GB2312" w:eastAsia="仿宋_GB2312" w:cs="仿宋_GB2312"/>
          <w:sz w:val="32"/>
          <w:szCs w:val="32"/>
        </w:rPr>
        <w:t>：</w:t>
      </w:r>
    </w:p>
    <w:p>
      <w:pPr>
        <w:keepNext w:val="0"/>
        <w:keepLines w:val="0"/>
        <w:pageBreakBefore w:val="0"/>
        <w:widowControl w:val="0"/>
        <w:kinsoku/>
        <w:wordWrap w:val="0"/>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_GB2312" w:hAnsi="仿宋_GB2312" w:eastAsia="仿宋_GB2312" w:cs="仿宋_GB2312"/>
          <w:snapToGrid w:val="0"/>
          <w:sz w:val="32"/>
          <w:szCs w:val="32"/>
          <w:lang w:eastAsia="zh-CN"/>
        </w:rPr>
      </w:pPr>
      <w:r>
        <w:rPr>
          <w:rFonts w:hint="eastAsia" w:ascii="仿宋_GB2312" w:hAnsi="仿宋_GB2312" w:eastAsia="仿宋_GB2312" w:cs="仿宋_GB2312"/>
          <w:snapToGrid w:val="0"/>
          <w:sz w:val="32"/>
          <w:szCs w:val="32"/>
        </w:rPr>
        <w:t>深圳市福田区第</w:t>
      </w:r>
      <w:r>
        <w:rPr>
          <w:rFonts w:hint="eastAsia" w:ascii="仿宋_GB2312" w:hAnsi="仿宋_GB2312" w:eastAsia="仿宋_GB2312" w:cs="仿宋_GB2312"/>
          <w:snapToGrid w:val="0"/>
          <w:sz w:val="32"/>
          <w:szCs w:val="32"/>
          <w:lang w:eastAsia="zh-CN"/>
        </w:rPr>
        <w:t>八</w:t>
      </w:r>
      <w:r>
        <w:rPr>
          <w:rFonts w:hint="eastAsia" w:ascii="仿宋_GB2312" w:hAnsi="仿宋_GB2312" w:eastAsia="仿宋_GB2312" w:cs="仿宋_GB2312"/>
          <w:snapToGrid w:val="0"/>
          <w:sz w:val="32"/>
          <w:szCs w:val="32"/>
        </w:rPr>
        <w:t>届人民代表大会第</w:t>
      </w:r>
      <w:r>
        <w:rPr>
          <w:rFonts w:hint="eastAsia" w:ascii="仿宋_GB2312" w:hAnsi="仿宋_GB2312" w:eastAsia="仿宋_GB2312" w:cs="仿宋_GB2312"/>
          <w:snapToGrid w:val="0"/>
          <w:sz w:val="32"/>
          <w:szCs w:val="32"/>
          <w:lang w:val="en-US" w:eastAsia="zh-CN"/>
        </w:rPr>
        <w:t>五</w:t>
      </w:r>
      <w:r>
        <w:rPr>
          <w:rFonts w:hint="eastAsia" w:ascii="仿宋_GB2312" w:hAnsi="仿宋_GB2312" w:eastAsia="仿宋_GB2312" w:cs="仿宋_GB2312"/>
          <w:snapToGrid w:val="0"/>
          <w:sz w:val="32"/>
          <w:szCs w:val="32"/>
        </w:rPr>
        <w:t>次会议第</w:t>
      </w:r>
      <w:r>
        <w:rPr>
          <w:rFonts w:hint="eastAsia" w:ascii="仿宋_GB2312" w:hAnsi="仿宋_GB2312" w:eastAsia="仿宋_GB2312" w:cs="仿宋_GB2312"/>
          <w:snapToGrid w:val="0"/>
          <w:sz w:val="32"/>
          <w:szCs w:val="32"/>
          <w:lang w:val="en-US" w:eastAsia="zh-CN"/>
        </w:rPr>
        <w:t>20250137</w:t>
      </w:r>
      <w:r>
        <w:rPr>
          <w:rFonts w:hint="eastAsia" w:ascii="仿宋_GB2312" w:hAnsi="仿宋_GB2312" w:eastAsia="仿宋_GB2312" w:cs="仿宋_GB2312"/>
          <w:snapToGrid w:val="0"/>
          <w:sz w:val="32"/>
          <w:szCs w:val="32"/>
        </w:rPr>
        <w:t>号《</w:t>
      </w:r>
      <w:r>
        <w:rPr>
          <w:rFonts w:hint="eastAsia" w:ascii="仿宋_GB2312" w:hAnsi="仿宋_GB2312" w:eastAsia="仿宋_GB2312" w:cs="仿宋_GB2312"/>
          <w:snapToGrid w:val="0"/>
          <w:sz w:val="32"/>
          <w:szCs w:val="32"/>
          <w:lang w:eastAsia="zh-CN"/>
        </w:rPr>
        <w:t>关于进一步推进使用住房专项维修资金开展用户共用管道更新改造的建议》已收悉。</w:t>
      </w:r>
      <w:r>
        <w:rPr>
          <w:rFonts w:hint="eastAsia" w:ascii="仿宋_GB2312" w:hAnsi="仿宋_GB2312" w:eastAsia="仿宋_GB2312" w:cs="仿宋_GB2312"/>
          <w:snapToGrid w:val="0"/>
          <w:sz w:val="32"/>
          <w:szCs w:val="32"/>
          <w:lang w:val="en-US" w:eastAsia="zh-CN"/>
        </w:rPr>
        <w:t>经认真研究，现将办理意见回复如下</w:t>
      </w:r>
      <w:r>
        <w:rPr>
          <w:rFonts w:hint="eastAsia" w:ascii="仿宋_GB2312" w:hAnsi="仿宋_GB2312" w:eastAsia="仿宋_GB2312" w:cs="仿宋_GB2312"/>
          <w:snapToGrid w:val="0"/>
          <w:sz w:val="32"/>
          <w:szCs w:val="32"/>
          <w:lang w:eastAsia="zh-CN"/>
        </w:rPr>
        <w:t>：</w:t>
      </w:r>
    </w:p>
    <w:p>
      <w:pPr>
        <w:keepNext w:val="0"/>
        <w:keepLines w:val="0"/>
        <w:pageBreakBefore w:val="0"/>
        <w:widowControl w:val="0"/>
        <w:kinsoku/>
        <w:wordWrap w:val="0"/>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黑体" w:hAnsi="黑体" w:eastAsia="黑体" w:cs="黑体"/>
          <w:b w:val="0"/>
          <w:bCs w:val="0"/>
          <w:snapToGrid w:val="0"/>
          <w:sz w:val="32"/>
          <w:szCs w:val="32"/>
          <w:lang w:val="en-US" w:eastAsia="zh-CN"/>
        </w:rPr>
      </w:pPr>
      <w:r>
        <w:rPr>
          <w:rFonts w:hint="eastAsia" w:ascii="黑体" w:hAnsi="黑体" w:eastAsia="黑体" w:cs="黑体"/>
          <w:b w:val="0"/>
          <w:bCs w:val="0"/>
          <w:snapToGrid w:val="0"/>
          <w:sz w:val="32"/>
          <w:szCs w:val="32"/>
          <w:lang w:val="en-US" w:eastAsia="zh-CN"/>
        </w:rPr>
        <w:t>一、维修资金使用有关规定</w:t>
      </w:r>
    </w:p>
    <w:p>
      <w:pPr>
        <w:keepNext w:val="0"/>
        <w:keepLines w:val="0"/>
        <w:pageBreakBefore w:val="0"/>
        <w:widowControl w:val="0"/>
        <w:kinsoku/>
        <w:wordWrap w:val="0"/>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_GB2312" w:hAnsi="仿宋_GB2312" w:eastAsia="仿宋_GB2312" w:cs="仿宋_GB2312"/>
          <w:snapToGrid w:val="0"/>
          <w:sz w:val="32"/>
          <w:szCs w:val="32"/>
        </w:rPr>
      </w:pPr>
      <w:r>
        <w:rPr>
          <w:rFonts w:hint="eastAsia" w:ascii="仿宋_GB2312" w:hAnsi="仿宋_GB2312" w:eastAsia="仿宋_GB2312" w:cs="仿宋_GB2312"/>
          <w:sz w:val="32"/>
          <w:szCs w:val="32"/>
        </w:rPr>
        <w:t>根</w:t>
      </w:r>
      <w:r>
        <w:rPr>
          <w:rFonts w:hint="eastAsia" w:ascii="仿宋_GB2312" w:hAnsi="仿宋_GB2312" w:eastAsia="仿宋_GB2312" w:cs="仿宋_GB2312"/>
          <w:snapToGrid w:val="0"/>
          <w:sz w:val="32"/>
          <w:szCs w:val="32"/>
        </w:rPr>
        <w:t>据《深圳经济特区物业管理条例》第九十二条“</w:t>
      </w:r>
      <w:r>
        <w:rPr>
          <w:rFonts w:hint="eastAsia" w:ascii="仿宋_GB2312" w:hAnsi="仿宋_GB2312" w:eastAsia="仿宋_GB2312" w:cs="仿宋_GB2312"/>
          <w:b w:val="0"/>
          <w:bCs w:val="0"/>
          <w:snapToGrid w:val="0"/>
          <w:sz w:val="32"/>
          <w:szCs w:val="32"/>
        </w:rPr>
        <w:t>物业专项维修资金用于物业保修期满后共有物业的安全检测鉴定、维修、更新、改造。除本条例第八十二条规定的应急维修情形外，由业主大会根据物业专项维修资金管理的相关规定决定使用</w:t>
      </w:r>
      <w:r>
        <w:rPr>
          <w:rFonts w:hint="eastAsia" w:ascii="仿宋_GB2312" w:hAnsi="仿宋_GB2312" w:eastAsia="仿宋_GB2312" w:cs="仿宋_GB2312"/>
          <w:snapToGrid w:val="0"/>
          <w:sz w:val="32"/>
          <w:szCs w:val="32"/>
        </w:rPr>
        <w:t>。”</w:t>
      </w:r>
    </w:p>
    <w:p>
      <w:pPr>
        <w:keepNext w:val="0"/>
        <w:keepLines w:val="0"/>
        <w:pageBreakBefore w:val="0"/>
        <w:widowControl w:val="0"/>
        <w:kinsoku/>
        <w:wordWrap w:val="0"/>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_GB2312" w:hAnsi="仿宋_GB2312" w:eastAsia="仿宋_GB2312" w:cs="仿宋_GB2312"/>
          <w:snapToGrid w:val="0"/>
          <w:sz w:val="32"/>
          <w:szCs w:val="32"/>
        </w:rPr>
        <w:sectPr>
          <w:pgSz w:w="11906" w:h="16838"/>
          <w:pgMar w:top="2098" w:right="1474" w:bottom="1984" w:left="1587" w:header="851" w:footer="1361" w:gutter="0"/>
          <w:pgNumType w:fmt="decimal"/>
          <w:cols w:space="425" w:num="1"/>
          <w:docGrid w:type="lines" w:linePitch="312" w:charSpace="0"/>
        </w:sectPr>
      </w:pPr>
      <w:r>
        <w:rPr>
          <w:rFonts w:hint="eastAsia" w:ascii="仿宋_GB2312" w:hAnsi="仿宋_GB2312" w:eastAsia="仿宋_GB2312" w:cs="仿宋_GB2312"/>
          <w:sz w:val="32"/>
          <w:szCs w:val="32"/>
        </w:rPr>
        <w:t>根</w:t>
      </w:r>
      <w:r>
        <w:rPr>
          <w:rFonts w:hint="eastAsia" w:ascii="仿宋_GB2312" w:hAnsi="仿宋_GB2312" w:eastAsia="仿宋_GB2312" w:cs="仿宋_GB2312"/>
          <w:snapToGrid w:val="0"/>
          <w:sz w:val="32"/>
          <w:szCs w:val="32"/>
        </w:rPr>
        <w:t>据《深圳经济特区物业管理条例》第八十二条“物业管理区域有下列情形时，</w:t>
      </w:r>
      <w:r>
        <w:rPr>
          <w:rFonts w:hint="eastAsia" w:ascii="仿宋_GB2312" w:hAnsi="仿宋_GB2312" w:eastAsia="仿宋_GB2312" w:cs="仿宋_GB2312"/>
          <w:b w:val="0"/>
          <w:bCs w:val="0"/>
          <w:snapToGrid w:val="0"/>
          <w:sz w:val="32"/>
          <w:szCs w:val="32"/>
        </w:rPr>
        <w:t>物业服务企业应当立即采取应急处置措施</w:t>
      </w:r>
      <w:r>
        <w:rPr>
          <w:rFonts w:hint="eastAsia" w:ascii="仿宋_GB2312" w:hAnsi="仿宋_GB2312" w:eastAsia="仿宋_GB2312" w:cs="仿宋_GB2312"/>
          <w:snapToGrid w:val="0"/>
          <w:sz w:val="32"/>
          <w:szCs w:val="32"/>
        </w:rPr>
        <w:t>，保障安全：（一）供水、排水、供电、</w:t>
      </w:r>
      <w:r>
        <w:rPr>
          <w:rFonts w:hint="eastAsia" w:ascii="仿宋_GB2312" w:hAnsi="仿宋_GB2312" w:eastAsia="仿宋_GB2312" w:cs="仿宋_GB2312"/>
          <w:b/>
          <w:bCs/>
          <w:snapToGrid w:val="0"/>
          <w:sz w:val="32"/>
          <w:szCs w:val="32"/>
        </w:rPr>
        <w:t>供气</w:t>
      </w:r>
      <w:r>
        <w:rPr>
          <w:rFonts w:hint="eastAsia" w:ascii="仿宋_GB2312" w:hAnsi="仿宋_GB2312" w:eastAsia="仿宋_GB2312" w:cs="仿宋_GB2312"/>
          <w:b w:val="0"/>
          <w:bCs w:val="0"/>
          <w:snapToGrid w:val="0"/>
          <w:sz w:val="32"/>
          <w:szCs w:val="32"/>
        </w:rPr>
        <w:t>设施设备发生故障或者其他影响正常使用的情况</w:t>
      </w:r>
      <w:r>
        <w:rPr>
          <w:rFonts w:hint="eastAsia" w:ascii="仿宋_GB2312" w:hAnsi="仿宋_GB2312" w:eastAsia="仿宋_GB2312" w:cs="仿宋_GB2312"/>
          <w:snapToGrid w:val="0"/>
          <w:sz w:val="32"/>
          <w:szCs w:val="32"/>
        </w:rPr>
        <w:t>；</w:t>
      </w:r>
      <w:r>
        <w:rPr>
          <w:rFonts w:hint="eastAsia" w:ascii="仿宋_GB2312" w:hAnsi="仿宋_GB2312" w:eastAsia="仿宋_GB2312" w:cs="仿宋_GB2312"/>
          <w:snapToGrid w:val="0"/>
          <w:sz w:val="32"/>
          <w:szCs w:val="32"/>
          <w:lang w:eastAsia="zh-CN"/>
        </w:rPr>
        <w:t>……</w:t>
      </w:r>
      <w:r>
        <w:rPr>
          <w:rFonts w:hint="eastAsia" w:ascii="仿宋_GB2312" w:hAnsi="仿宋_GB2312" w:eastAsia="仿宋_GB2312" w:cs="仿宋_GB2312"/>
          <w:snapToGrid w:val="0"/>
          <w:sz w:val="32"/>
          <w:szCs w:val="32"/>
        </w:rPr>
        <w:t>（四）</w:t>
      </w:r>
      <w:r>
        <w:rPr>
          <w:rFonts w:hint="eastAsia" w:ascii="仿宋_GB2312" w:hAnsi="仿宋_GB2312" w:eastAsia="仿宋_GB2312" w:cs="仿宋_GB2312"/>
          <w:b w:val="0"/>
          <w:bCs w:val="0"/>
          <w:snapToGrid w:val="0"/>
          <w:sz w:val="32"/>
          <w:szCs w:val="32"/>
        </w:rPr>
        <w:t>其他危及物业安全的紧急情况。</w:t>
      </w:r>
      <w:r>
        <w:rPr>
          <w:rFonts w:hint="eastAsia" w:ascii="仿宋_GB2312" w:hAnsi="仿宋_GB2312" w:eastAsia="仿宋_GB2312" w:cs="仿宋_GB2312"/>
          <w:snapToGrid w:val="0"/>
          <w:sz w:val="32"/>
          <w:szCs w:val="32"/>
        </w:rPr>
        <w:t>发生前款第一项情形的，物业服务企业应当及时报告相</w:t>
      </w:r>
    </w:p>
    <w:p>
      <w:pPr>
        <w:keepNext w:val="0"/>
        <w:keepLines w:val="0"/>
        <w:pageBreakBefore w:val="0"/>
        <w:widowControl w:val="0"/>
        <w:kinsoku/>
        <w:wordWrap w:val="0"/>
        <w:overflowPunct/>
        <w:topLinePunct w:val="0"/>
        <w:autoSpaceDE/>
        <w:autoSpaceDN/>
        <w:bidi w:val="0"/>
        <w:adjustRightInd w:val="0"/>
        <w:snapToGrid w:val="0"/>
        <w:spacing w:beforeAutospacing="0" w:afterAutospacing="0" w:line="579" w:lineRule="exact"/>
        <w:ind w:right="0" w:rightChars="0"/>
        <w:jc w:val="both"/>
        <w:textAlignment w:val="auto"/>
        <w:outlineLvl w:val="9"/>
        <w:rPr>
          <w:rFonts w:hint="eastAsia" w:ascii="仿宋_GB2312" w:hAnsi="仿宋_GB2312" w:eastAsia="仿宋_GB2312" w:cs="仿宋_GB2312"/>
          <w:snapToGrid w:val="0"/>
          <w:sz w:val="32"/>
          <w:szCs w:val="32"/>
        </w:rPr>
      </w:pPr>
      <w:r>
        <w:rPr>
          <w:rFonts w:hint="eastAsia" w:ascii="仿宋_GB2312" w:hAnsi="仿宋_GB2312" w:eastAsia="仿宋_GB2312" w:cs="仿宋_GB2312"/>
          <w:snapToGrid w:val="0"/>
          <w:sz w:val="32"/>
          <w:szCs w:val="32"/>
        </w:rPr>
        <w:t>关专营单位；发生前款</w:t>
      </w:r>
      <w:r>
        <w:rPr>
          <w:rFonts w:hint="eastAsia" w:ascii="仿宋_GB2312" w:hAnsi="仿宋_GB2312" w:eastAsia="仿宋_GB2312" w:cs="仿宋_GB2312"/>
          <w:b w:val="0"/>
          <w:bCs w:val="0"/>
          <w:snapToGrid w:val="0"/>
          <w:sz w:val="32"/>
          <w:szCs w:val="32"/>
        </w:rPr>
        <w:t>第二项至四项情形的，物业服务企业应当及时报告业主委员会、街道办事处，并进行应急维修，应急维修费用从业主共有资金账户或者物业专项维修资金专户中支出</w:t>
      </w:r>
      <w:r>
        <w:rPr>
          <w:rFonts w:hint="eastAsia" w:ascii="仿宋_GB2312" w:hAnsi="仿宋_GB2312" w:eastAsia="仿宋_GB2312" w:cs="仿宋_GB2312"/>
          <w:snapToGrid w:val="0"/>
          <w:sz w:val="32"/>
          <w:szCs w:val="32"/>
        </w:rPr>
        <w:t>。”</w:t>
      </w:r>
    </w:p>
    <w:p>
      <w:pPr>
        <w:keepNext w:val="0"/>
        <w:keepLines w:val="0"/>
        <w:pageBreakBefore w:val="0"/>
        <w:widowControl w:val="0"/>
        <w:kinsoku/>
        <w:wordWrap w:val="0"/>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_GB2312" w:hAnsi="仿宋_GB2312" w:eastAsia="仿宋_GB2312" w:cs="仿宋_GB2312"/>
          <w:snapToGrid w:val="0"/>
          <w:color w:val="000000"/>
          <w:kern w:val="2"/>
          <w:sz w:val="32"/>
          <w:szCs w:val="32"/>
          <w:lang w:val="en-US" w:eastAsia="zh-CN" w:bidi="ar"/>
        </w:rPr>
      </w:pPr>
      <w:r>
        <w:rPr>
          <w:rFonts w:hint="eastAsia" w:ascii="仿宋_GB2312" w:hAnsi="仿宋_GB2312" w:eastAsia="仿宋_GB2312" w:cs="仿宋_GB2312"/>
          <w:b w:val="0"/>
          <w:bCs w:val="0"/>
          <w:snapToGrid w:val="0"/>
          <w:color w:val="000000"/>
          <w:kern w:val="2"/>
          <w:sz w:val="32"/>
          <w:szCs w:val="32"/>
          <w:lang w:val="en-US" w:eastAsia="zh-CN" w:bidi="ar-SA"/>
        </w:rPr>
        <w:t>综上，</w:t>
      </w:r>
      <w:r>
        <w:rPr>
          <w:rFonts w:hint="eastAsia" w:ascii="仿宋_GB2312" w:hAnsi="仿宋_GB2312" w:eastAsia="仿宋_GB2312" w:cs="仿宋_GB2312"/>
          <w:snapToGrid w:val="0"/>
          <w:color w:val="000000"/>
          <w:kern w:val="2"/>
          <w:sz w:val="32"/>
          <w:szCs w:val="32"/>
          <w:lang w:val="en-US" w:eastAsia="zh-CN" w:bidi="ar"/>
        </w:rPr>
        <w:t>物业管理区域属于全体业主共有的</w:t>
      </w:r>
      <w:r>
        <w:rPr>
          <w:rFonts w:hint="eastAsia" w:ascii="仿宋_GB2312" w:hAnsi="仿宋_GB2312" w:eastAsia="仿宋_GB2312" w:cs="仿宋_GB2312"/>
          <w:b w:val="0"/>
          <w:bCs w:val="0"/>
          <w:snapToGrid w:val="0"/>
          <w:kern w:val="2"/>
          <w:sz w:val="32"/>
          <w:szCs w:val="32"/>
          <w:lang w:val="en-US" w:eastAsia="zh-CN" w:bidi="ar-SA"/>
        </w:rPr>
        <w:t>设施设备涉及大、中修和专项更新、改造以及安全检测鉴定等项目由相关业主共同决定实施，紧急情形下的应急处置和应急维修项目可以由物业服务企业采取应急处置措施，相关费用从业主共有资金账户或者物业专项维修资金专户中支出。如小区目前暂无业主委员会的，可以由社区居民委员会依法代行业主委员会相关职责，协助及时解决处置住宅物业管理面临可能影响公共安全或者管理秩序等紧急情况或重大事件。</w:t>
      </w:r>
    </w:p>
    <w:p>
      <w:pPr>
        <w:keepNext w:val="0"/>
        <w:keepLines w:val="0"/>
        <w:pageBreakBefore w:val="0"/>
        <w:widowControl w:val="0"/>
        <w:kinsoku/>
        <w:wordWrap w:val="0"/>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黑体" w:hAnsi="黑体" w:eastAsia="黑体" w:cs="黑体"/>
          <w:b w:val="0"/>
          <w:bCs w:val="0"/>
          <w:snapToGrid w:val="0"/>
          <w:sz w:val="32"/>
          <w:szCs w:val="32"/>
          <w:lang w:val="en-US" w:eastAsia="zh-CN"/>
        </w:rPr>
      </w:pPr>
      <w:r>
        <w:rPr>
          <w:rFonts w:hint="eastAsia" w:ascii="黑体" w:hAnsi="黑体" w:eastAsia="黑体" w:cs="黑体"/>
          <w:b w:val="0"/>
          <w:bCs w:val="0"/>
          <w:snapToGrid w:val="0"/>
          <w:sz w:val="32"/>
          <w:szCs w:val="32"/>
          <w:lang w:val="en-US" w:eastAsia="zh-CN"/>
        </w:rPr>
        <w:t>二、相关工作举措</w:t>
      </w:r>
    </w:p>
    <w:p>
      <w:pPr>
        <w:keepNext w:val="0"/>
        <w:keepLines w:val="0"/>
        <w:pageBreakBefore w:val="0"/>
        <w:widowControl w:val="0"/>
        <w:kinsoku/>
        <w:wordWrap w:val="0"/>
        <w:overflowPunct/>
        <w:topLinePunct w:val="0"/>
        <w:autoSpaceDE/>
        <w:autoSpaceDN/>
        <w:bidi w:val="0"/>
        <w:adjustRightInd w:val="0"/>
        <w:snapToGrid w:val="0"/>
        <w:spacing w:line="579"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楷体" w:hAnsi="楷体" w:eastAsia="楷体" w:cs="楷体"/>
          <w:b w:val="0"/>
          <w:bCs w:val="0"/>
          <w:snapToGrid w:val="0"/>
          <w:color w:val="000000"/>
          <w:sz w:val="32"/>
          <w:szCs w:val="32"/>
          <w:highlight w:val="none"/>
          <w:lang w:val="en-US" w:eastAsia="zh-CN" w:bidi="ar"/>
        </w:rPr>
        <w:t>（一）优化维修资金使用流程。</w:t>
      </w:r>
      <w:r>
        <w:rPr>
          <w:rFonts w:hint="eastAsia" w:ascii="仿宋_GB2312" w:hAnsi="仿宋_GB2312" w:eastAsia="仿宋_GB2312" w:cs="仿宋_GB2312"/>
          <w:snapToGrid w:val="0"/>
          <w:color w:val="000000"/>
          <w:sz w:val="32"/>
          <w:szCs w:val="32"/>
          <w:highlight w:val="none"/>
          <w:lang w:val="en-US" w:eastAsia="zh-CN" w:bidi="ar"/>
        </w:rPr>
        <w:t>根据《深圳市物业专项维修资金管理规定》，</w:t>
      </w:r>
      <w:r>
        <w:rPr>
          <w:rFonts w:hint="eastAsia" w:ascii="仿宋_GB2312" w:hAnsi="仿宋_GB2312" w:eastAsia="仿宋_GB2312" w:cs="仿宋_GB2312"/>
          <w:b w:val="0"/>
          <w:bCs w:val="0"/>
          <w:sz w:val="32"/>
          <w:szCs w:val="32"/>
          <w:lang w:val="en-US" w:eastAsia="zh-CN"/>
        </w:rPr>
        <w:t>研究制定《福田区物业专项维修资金管理指引》，细化维修金缴交、续筹及使用流程，</w:t>
      </w:r>
      <w:r>
        <w:rPr>
          <w:rFonts w:hint="eastAsia" w:ascii="仿宋_GB2312" w:hAnsi="仿宋_GB2312" w:eastAsia="仿宋_GB2312" w:cs="仿宋_GB2312"/>
          <w:snapToGrid w:val="0"/>
          <w:color w:val="000000"/>
          <w:sz w:val="32"/>
          <w:szCs w:val="32"/>
          <w:highlight w:val="none"/>
          <w:lang w:val="en-US" w:eastAsia="zh-CN" w:bidi="ar"/>
        </w:rPr>
        <w:t>研究</w:t>
      </w:r>
      <w:r>
        <w:rPr>
          <w:rFonts w:hint="eastAsia" w:ascii="仿宋_GB2312" w:hAnsi="仿宋_GB2312" w:eastAsia="仿宋_GB2312" w:cs="仿宋_GB2312"/>
          <w:snapToGrid w:val="0"/>
          <w:spacing w:val="0"/>
          <w:sz w:val="32"/>
          <w:szCs w:val="32"/>
          <w:highlight w:val="none"/>
          <w:lang w:val="en-US" w:eastAsia="zh-CN"/>
        </w:rPr>
        <w:t>建立紧急维修事项清单，开辟老旧小区维修金使用绿色通道，对涉及共用设施维修、更新和改造快审快拨，全力消除相关安全隐患</w:t>
      </w:r>
      <w:r>
        <w:rPr>
          <w:rFonts w:hint="eastAsia" w:ascii="仿宋_GB2312" w:hAnsi="仿宋_GB2312" w:eastAsia="仿宋_GB2312" w:cs="仿宋_GB2312"/>
          <w:b w:val="0"/>
          <w:bCs w:val="0"/>
          <w:sz w:val="32"/>
          <w:szCs w:val="32"/>
          <w:lang w:val="en-US" w:eastAsia="zh-CN"/>
        </w:rPr>
        <w:t>。</w:t>
      </w:r>
    </w:p>
    <w:p>
      <w:pPr>
        <w:keepNext w:val="0"/>
        <w:keepLines w:val="0"/>
        <w:pageBreakBefore w:val="0"/>
        <w:widowControl w:val="0"/>
        <w:kinsoku/>
        <w:wordWrap w:val="0"/>
        <w:overflowPunct/>
        <w:topLinePunct w:val="0"/>
        <w:autoSpaceDE/>
        <w:autoSpaceDN/>
        <w:bidi w:val="0"/>
        <w:adjustRightInd w:val="0"/>
        <w:snapToGrid w:val="0"/>
        <w:spacing w:line="579" w:lineRule="exact"/>
        <w:ind w:firstLine="640" w:firstLineChars="200"/>
        <w:jc w:val="both"/>
        <w:textAlignment w:val="auto"/>
        <w:rPr>
          <w:rFonts w:hint="eastAsia" w:ascii="仿宋_GB2312" w:hAnsi="仿宋_GB2312" w:eastAsia="仿宋_GB2312" w:cs="仿宋_GB2312"/>
          <w:snapToGrid w:val="0"/>
          <w:spacing w:val="0"/>
          <w:kern w:val="2"/>
          <w:sz w:val="32"/>
          <w:szCs w:val="32"/>
          <w:highlight w:val="none"/>
          <w:lang w:val="en-US" w:eastAsia="zh-CN" w:bidi="ar-SA"/>
        </w:rPr>
      </w:pPr>
      <w:r>
        <w:rPr>
          <w:rFonts w:hint="eastAsia" w:ascii="楷体" w:hAnsi="楷体" w:eastAsia="楷体" w:cs="楷体"/>
          <w:b w:val="0"/>
          <w:bCs w:val="0"/>
          <w:snapToGrid w:val="0"/>
          <w:color w:val="000000"/>
          <w:sz w:val="32"/>
          <w:szCs w:val="32"/>
          <w:highlight w:val="none"/>
          <w:lang w:val="en-US" w:eastAsia="zh-CN" w:bidi="ar"/>
        </w:rPr>
        <w:t>（二）简化申请资料，提高审批效率。</w:t>
      </w:r>
      <w:r>
        <w:rPr>
          <w:rFonts w:hint="eastAsia" w:ascii="仿宋_GB2312" w:hAnsi="仿宋_GB2312" w:eastAsia="仿宋_GB2312" w:cs="仿宋_GB2312"/>
          <w:b w:val="0"/>
          <w:bCs w:val="0"/>
          <w:sz w:val="32"/>
          <w:szCs w:val="32"/>
          <w:lang w:val="en-US" w:eastAsia="zh-CN"/>
        </w:rPr>
        <w:t>探索</w:t>
      </w:r>
      <w:r>
        <w:rPr>
          <w:rFonts w:hint="eastAsia" w:ascii="仿宋_GB2312" w:hAnsi="仿宋_GB2312" w:eastAsia="仿宋_GB2312" w:cs="仿宋_GB2312"/>
          <w:snapToGrid w:val="0"/>
          <w:spacing w:val="0"/>
          <w:kern w:val="2"/>
          <w:sz w:val="32"/>
          <w:szCs w:val="32"/>
          <w:highlight w:val="none"/>
          <w:lang w:val="en-US" w:eastAsia="zh-CN" w:bidi="ar-SA"/>
        </w:rPr>
        <w:t>打通限额以下小型工程监管系统、物业专项维修资金系统、深圳市物业管理信息平台等各类系统数据资源，实现系统资料共享，进一步压缩办理环节、精简资料清单、缩短维修资金拨付办理时限。</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b w:val="0"/>
          <w:color w:val="auto"/>
          <w:kern w:val="2"/>
          <w:position w:val="0"/>
          <w:sz w:val="32"/>
          <w:szCs w:val="32"/>
          <w:lang w:val="en-US" w:eastAsia="zh-CN" w:bidi="ar-SA"/>
        </w:rPr>
      </w:pPr>
      <w:r>
        <w:rPr>
          <w:rFonts w:hint="eastAsia" w:ascii="楷体" w:hAnsi="楷体" w:eastAsia="楷体" w:cs="楷体"/>
          <w:b w:val="0"/>
          <w:bCs w:val="0"/>
          <w:snapToGrid w:val="0"/>
          <w:color w:val="000000"/>
          <w:sz w:val="32"/>
          <w:szCs w:val="32"/>
          <w:highlight w:val="none"/>
          <w:lang w:val="en-US" w:eastAsia="zh-CN" w:bidi="ar"/>
        </w:rPr>
        <w:t>（三）强化业主组织建设及各级宣传培训。</w:t>
      </w:r>
      <w:r>
        <w:rPr>
          <w:rFonts w:hint="eastAsia" w:ascii="仿宋_GB2312" w:hAnsi="仿宋_GB2312" w:eastAsia="仿宋_GB2312" w:cs="仿宋_GB2312"/>
          <w:snapToGrid w:val="0"/>
          <w:kern w:val="0"/>
          <w:sz w:val="32"/>
          <w:szCs w:val="32"/>
          <w:highlight w:val="none"/>
          <w:lang w:val="en-US" w:eastAsia="zh-CN"/>
        </w:rPr>
        <w:t>一方面，加大推进业主委员会成立工作。</w:t>
      </w:r>
      <w:r>
        <w:rPr>
          <w:rFonts w:hint="eastAsia" w:ascii="仿宋_GB2312" w:hAnsi="仿宋_GB2312" w:eastAsia="仿宋_GB2312" w:cs="仿宋_GB2312"/>
          <w:sz w:val="32"/>
          <w:szCs w:val="32"/>
          <w:lang w:val="en-US" w:eastAsia="zh-CN"/>
        </w:rPr>
        <w:t>加强党建引领业主大会和业主委员会规范化建设及履职，提升业委会选举、运行的法治化、规范化水平，源头提升全区业委会成立比率。</w:t>
      </w:r>
      <w:bookmarkStart w:id="0" w:name="OLE_LINK13"/>
      <w:r>
        <w:rPr>
          <w:rFonts w:hint="eastAsia" w:ascii="仿宋_GB2312" w:hAnsi="仿宋_GB2312" w:eastAsia="仿宋_GB2312" w:cs="仿宋_GB2312"/>
          <w:snapToGrid w:val="0"/>
          <w:kern w:val="0"/>
          <w:sz w:val="32"/>
          <w:szCs w:val="32"/>
          <w:highlight w:val="none"/>
          <w:lang w:val="en-US" w:eastAsia="zh-CN"/>
        </w:rPr>
        <w:t>另一方面，加强“居代业”工作的培训指导。</w:t>
      </w:r>
      <w:bookmarkEnd w:id="0"/>
      <w:r>
        <w:rPr>
          <w:rFonts w:hint="eastAsia" w:ascii="仿宋_GB2312" w:hAnsi="仿宋_GB2312" w:eastAsia="仿宋_GB2312" w:cs="仿宋_GB2312"/>
          <w:snapToGrid w:val="0"/>
          <w:kern w:val="0"/>
          <w:sz w:val="32"/>
          <w:szCs w:val="32"/>
          <w:highlight w:val="none"/>
          <w:lang w:val="en-US" w:eastAsia="zh-CN"/>
        </w:rPr>
        <w:t>定期组织开展业务培训，</w:t>
      </w:r>
      <w:r>
        <w:rPr>
          <w:rFonts w:hint="eastAsia" w:ascii="仿宋_GB2312" w:hAnsi="仿宋_GB2312" w:eastAsia="仿宋_GB2312" w:cs="仿宋_GB2312"/>
          <w:b w:val="0"/>
          <w:color w:val="auto"/>
          <w:kern w:val="2"/>
          <w:position w:val="0"/>
          <w:sz w:val="32"/>
          <w:szCs w:val="32"/>
          <w:lang w:val="en-US" w:eastAsia="zh-CN" w:bidi="ar-SA"/>
        </w:rPr>
        <w:t>提升基层工作人员开展“居代业”工作的专业化水平，推动“居代业”制度在消除小区安全隐患、物业专项维修资金使用等方面发挥积极作用。</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snapToGrid w:val="0"/>
          <w:kern w:val="2"/>
          <w:sz w:val="32"/>
          <w:szCs w:val="32"/>
          <w:lang w:val="en-US" w:eastAsia="zh-CN" w:bidi="ar-SA"/>
        </w:rPr>
      </w:pPr>
      <w:r>
        <w:rPr>
          <w:rFonts w:hint="eastAsia" w:ascii="仿宋_GB2312" w:hAnsi="仿宋_GB2312" w:eastAsia="仿宋_GB2312" w:cs="仿宋_GB2312"/>
          <w:snapToGrid w:val="0"/>
          <w:kern w:val="2"/>
          <w:sz w:val="32"/>
          <w:szCs w:val="32"/>
          <w:lang w:val="en-US" w:eastAsia="zh-CN" w:bidi="ar-SA"/>
        </w:rPr>
        <w:t>再次感谢代表们对住房建设领域工作的关心与支持！福田区住房和建设将不断优化工作机制，充分发挥物业专项维修资金对共有物业更新改造的支持作用，不断提升物业小区安全管理水平。</w:t>
      </w:r>
    </w:p>
    <w:p>
      <w:pPr>
        <w:keepNext w:val="0"/>
        <w:keepLines w:val="0"/>
        <w:pageBreakBefore w:val="0"/>
        <w:widowControl w:val="0"/>
        <w:kinsoku/>
        <w:wordWrap w:val="0"/>
        <w:overflowPunct/>
        <w:topLinePunct w:val="0"/>
        <w:autoSpaceDE/>
        <w:autoSpaceDN/>
        <w:bidi w:val="0"/>
        <w:adjustRightInd w:val="0"/>
        <w:snapToGrid w:val="0"/>
        <w:spacing w:beforeAutospacing="0" w:afterAutospacing="0" w:line="579" w:lineRule="exact"/>
        <w:ind w:left="0" w:leftChars="0" w:right="0" w:rightChars="0" w:firstLine="4800" w:firstLineChars="1500"/>
        <w:jc w:val="left"/>
        <w:textAlignment w:val="auto"/>
        <w:outlineLvl w:val="9"/>
        <w:rPr>
          <w:rFonts w:hint="eastAsia" w:ascii="仿宋_GB2312" w:hAnsi="仿宋_GB2312" w:eastAsia="仿宋_GB2312" w:cs="仿宋_GB2312"/>
          <w:snapToGrid w:val="0"/>
          <w:sz w:val="32"/>
          <w:szCs w:val="32"/>
          <w:lang w:val="en-US" w:eastAsia="zh-CN"/>
        </w:rPr>
      </w:pPr>
    </w:p>
    <w:p>
      <w:pPr>
        <w:keepNext w:val="0"/>
        <w:keepLines w:val="0"/>
        <w:pageBreakBefore w:val="0"/>
        <w:widowControl w:val="0"/>
        <w:kinsoku/>
        <w:wordWrap w:val="0"/>
        <w:overflowPunct/>
        <w:topLinePunct w:val="0"/>
        <w:autoSpaceDE/>
        <w:autoSpaceDN/>
        <w:bidi w:val="0"/>
        <w:adjustRightInd w:val="0"/>
        <w:snapToGrid w:val="0"/>
        <w:spacing w:beforeAutospacing="0" w:afterAutospacing="0" w:line="579" w:lineRule="exact"/>
        <w:ind w:left="0" w:leftChars="0" w:right="0" w:rightChars="0" w:firstLine="0" w:firstLineChars="0"/>
        <w:jc w:val="right"/>
        <w:textAlignment w:val="auto"/>
        <w:outlineLvl w:val="9"/>
        <w:rPr>
          <w:rFonts w:hint="eastAsia" w:ascii="仿宋_GB2312" w:hAnsi="仿宋_GB2312" w:eastAsia="仿宋_GB2312" w:cs="仿宋_GB2312"/>
          <w:snapToGrid w:val="0"/>
          <w:sz w:val="32"/>
          <w:szCs w:val="32"/>
          <w:lang w:val="en-US" w:eastAsia="zh-CN"/>
        </w:rPr>
      </w:pPr>
      <w:r>
        <w:rPr>
          <w:rFonts w:hint="eastAsia" w:ascii="仿宋_GB2312" w:hAnsi="仿宋_GB2312" w:eastAsia="仿宋_GB2312" w:cs="仿宋_GB2312"/>
          <w:snapToGrid w:val="0"/>
          <w:sz w:val="32"/>
          <w:szCs w:val="32"/>
          <w:lang w:val="en-US" w:eastAsia="zh-CN"/>
        </w:rPr>
        <w:t>深圳市</w:t>
      </w:r>
      <w:r>
        <w:rPr>
          <w:rFonts w:hint="eastAsia" w:ascii="仿宋_GB2312" w:hAnsi="仿宋_GB2312" w:eastAsia="仿宋_GB2312" w:cs="仿宋_GB2312"/>
          <w:snapToGrid w:val="0"/>
          <w:sz w:val="32"/>
          <w:szCs w:val="32"/>
        </w:rPr>
        <w:t>福田区</w:t>
      </w:r>
      <w:r>
        <w:rPr>
          <w:rFonts w:hint="eastAsia" w:ascii="仿宋_GB2312" w:hAnsi="仿宋_GB2312" w:eastAsia="仿宋_GB2312" w:cs="仿宋_GB2312"/>
          <w:snapToGrid w:val="0"/>
          <w:sz w:val="32"/>
          <w:szCs w:val="32"/>
          <w:lang w:val="en-US" w:eastAsia="zh-CN"/>
        </w:rPr>
        <w:t>住房和建设局</w:t>
      </w:r>
    </w:p>
    <w:p>
      <w:pPr>
        <w:keepNext w:val="0"/>
        <w:keepLines w:val="0"/>
        <w:pageBreakBefore w:val="0"/>
        <w:widowControl w:val="0"/>
        <w:kinsoku/>
        <w:wordWrap w:val="0"/>
        <w:overflowPunct/>
        <w:topLinePunct w:val="0"/>
        <w:autoSpaceDE/>
        <w:autoSpaceDN/>
        <w:bidi w:val="0"/>
        <w:adjustRightInd w:val="0"/>
        <w:snapToGrid w:val="0"/>
        <w:spacing w:beforeAutospacing="0" w:afterAutospacing="0" w:line="579" w:lineRule="exact"/>
        <w:ind w:left="0" w:leftChars="0" w:right="625" w:rightChars="0" w:firstLine="0" w:firstLineChars="0"/>
        <w:jc w:val="right"/>
        <w:textAlignment w:val="auto"/>
        <w:outlineLvl w:val="9"/>
        <w:rPr>
          <w:rFonts w:hint="eastAsia" w:ascii="仿宋_GB2312" w:hAnsi="仿宋_GB2312" w:eastAsia="仿宋_GB2312" w:cs="仿宋_GB2312"/>
          <w:snapToGrid w:val="0"/>
          <w:sz w:val="32"/>
          <w:szCs w:val="32"/>
        </w:rPr>
      </w:pPr>
      <w:r>
        <w:rPr>
          <w:rFonts w:hint="eastAsia" w:ascii="仿宋_GB2312" w:hAnsi="仿宋_GB2312" w:eastAsia="仿宋_GB2312" w:cs="仿宋_GB2312"/>
          <w:snapToGrid w:val="0"/>
          <w:sz w:val="32"/>
          <w:szCs w:val="32"/>
        </w:rPr>
        <w:t xml:space="preserve"> </w:t>
      </w:r>
      <w:r>
        <w:rPr>
          <w:rFonts w:hint="eastAsia" w:ascii="仿宋_GB2312" w:hAnsi="仿宋_GB2312" w:eastAsia="仿宋_GB2312" w:cs="仿宋_GB2312"/>
          <w:snapToGrid w:val="0"/>
          <w:sz w:val="32"/>
          <w:szCs w:val="32"/>
          <w:lang w:val="en-US" w:eastAsia="zh-CN"/>
        </w:rPr>
        <w:t xml:space="preserve">                             2025</w:t>
      </w:r>
      <w:r>
        <w:rPr>
          <w:rFonts w:hint="eastAsia" w:ascii="仿宋_GB2312" w:hAnsi="仿宋_GB2312" w:eastAsia="仿宋_GB2312" w:cs="仿宋_GB2312"/>
          <w:snapToGrid w:val="0"/>
          <w:sz w:val="32"/>
          <w:szCs w:val="32"/>
        </w:rPr>
        <w:t>年</w:t>
      </w:r>
      <w:r>
        <w:rPr>
          <w:rFonts w:hint="eastAsia" w:ascii="仿宋_GB2312" w:hAnsi="仿宋_GB2312" w:eastAsia="仿宋_GB2312" w:cs="仿宋_GB2312"/>
          <w:snapToGrid w:val="0"/>
          <w:sz w:val="32"/>
          <w:szCs w:val="32"/>
          <w:lang w:val="en-US" w:eastAsia="zh-CN"/>
        </w:rPr>
        <w:t>5</w:t>
      </w:r>
      <w:r>
        <w:rPr>
          <w:rFonts w:hint="eastAsia" w:ascii="仿宋_GB2312" w:hAnsi="仿宋_GB2312" w:eastAsia="仿宋_GB2312" w:cs="仿宋_GB2312"/>
          <w:snapToGrid w:val="0"/>
          <w:sz w:val="32"/>
          <w:szCs w:val="32"/>
        </w:rPr>
        <w:t>月</w:t>
      </w:r>
      <w:r>
        <w:rPr>
          <w:rFonts w:hint="eastAsia" w:ascii="仿宋_GB2312" w:hAnsi="仿宋_GB2312" w:eastAsia="仿宋_GB2312" w:cs="仿宋_GB2312"/>
          <w:snapToGrid w:val="0"/>
          <w:sz w:val="32"/>
          <w:szCs w:val="32"/>
          <w:lang w:val="en-US" w:eastAsia="zh-CN"/>
        </w:rPr>
        <w:t>29</w:t>
      </w:r>
      <w:r>
        <w:rPr>
          <w:rFonts w:hint="eastAsia" w:ascii="仿宋_GB2312" w:hAnsi="仿宋_GB2312" w:eastAsia="仿宋_GB2312" w:cs="仿宋_GB2312"/>
          <w:snapToGrid w:val="0"/>
          <w:sz w:val="32"/>
          <w:szCs w:val="32"/>
        </w:rPr>
        <w:t>日</w:t>
      </w:r>
    </w:p>
    <w:p>
      <w:pPr>
        <w:wordWrap w:val="0"/>
        <w:adjustRightInd w:val="0"/>
        <w:snapToGrid w:val="0"/>
        <w:spacing w:line="579" w:lineRule="exact"/>
        <w:jc w:val="left"/>
        <w:rPr>
          <w:rFonts w:hint="eastAsia" w:ascii="黑体" w:hAnsi="黑体" w:eastAsia="黑体" w:cs="黑体"/>
          <w:b w:val="0"/>
          <w:bCs/>
          <w:snapToGrid w:val="0"/>
          <w:kern w:val="2"/>
          <w:sz w:val="28"/>
          <w:szCs w:val="28"/>
          <w:lang w:val="en-US" w:eastAsia="zh-CN" w:bidi="ar-SA"/>
        </w:rPr>
      </w:pPr>
    </w:p>
    <w:p>
      <w:pPr>
        <w:wordWrap w:val="0"/>
        <w:adjustRightInd w:val="0"/>
        <w:snapToGrid w:val="0"/>
        <w:spacing w:line="579" w:lineRule="exact"/>
        <w:jc w:val="left"/>
        <w:rPr>
          <w:rFonts w:hint="eastAsia" w:ascii="黑体" w:hAnsi="黑体" w:eastAsia="黑体" w:cs="黑体"/>
          <w:b w:val="0"/>
          <w:bCs/>
          <w:snapToGrid w:val="0"/>
          <w:kern w:val="2"/>
          <w:sz w:val="28"/>
          <w:szCs w:val="28"/>
          <w:lang w:val="en-US" w:eastAsia="zh-CN" w:bidi="ar-SA"/>
        </w:rPr>
      </w:pPr>
    </w:p>
    <w:p>
      <w:pPr>
        <w:wordWrap w:val="0"/>
        <w:adjustRightInd w:val="0"/>
        <w:snapToGrid w:val="0"/>
        <w:spacing w:line="579" w:lineRule="exact"/>
        <w:jc w:val="left"/>
        <w:rPr>
          <w:rFonts w:hint="eastAsia" w:ascii="黑体" w:hAnsi="黑体" w:eastAsia="黑体" w:cs="黑体"/>
          <w:b w:val="0"/>
          <w:bCs/>
          <w:snapToGrid w:val="0"/>
          <w:kern w:val="2"/>
          <w:sz w:val="28"/>
          <w:szCs w:val="28"/>
          <w:lang w:val="en-US" w:eastAsia="zh-CN" w:bidi="ar-SA"/>
        </w:rPr>
      </w:pPr>
    </w:p>
    <w:p>
      <w:pPr>
        <w:wordWrap w:val="0"/>
        <w:adjustRightInd w:val="0"/>
        <w:snapToGrid w:val="0"/>
        <w:spacing w:line="579" w:lineRule="exact"/>
        <w:jc w:val="left"/>
        <w:rPr>
          <w:rFonts w:hint="eastAsia" w:ascii="黑体" w:hAnsi="黑体" w:eastAsia="黑体" w:cs="黑体"/>
          <w:b w:val="0"/>
          <w:bCs/>
          <w:snapToGrid w:val="0"/>
          <w:kern w:val="2"/>
          <w:sz w:val="28"/>
          <w:szCs w:val="28"/>
          <w:lang w:val="en-US" w:eastAsia="zh-CN" w:bidi="ar-SA"/>
        </w:rPr>
      </w:pPr>
    </w:p>
    <w:p>
      <w:pPr>
        <w:wordWrap w:val="0"/>
        <w:adjustRightInd w:val="0"/>
        <w:snapToGrid w:val="0"/>
        <w:spacing w:line="579" w:lineRule="exact"/>
        <w:jc w:val="left"/>
        <w:rPr>
          <w:rFonts w:hint="eastAsia" w:ascii="黑体" w:hAnsi="黑体" w:eastAsia="黑体" w:cs="黑体"/>
          <w:b w:val="0"/>
          <w:bCs/>
          <w:snapToGrid w:val="0"/>
          <w:kern w:val="2"/>
          <w:sz w:val="28"/>
          <w:szCs w:val="28"/>
          <w:lang w:val="en-US" w:eastAsia="zh-CN" w:bidi="ar-SA"/>
        </w:rPr>
      </w:pPr>
    </w:p>
    <w:p>
      <w:pPr>
        <w:wordWrap w:val="0"/>
        <w:adjustRightInd w:val="0"/>
        <w:snapToGrid w:val="0"/>
        <w:spacing w:line="579" w:lineRule="exact"/>
        <w:jc w:val="left"/>
        <w:rPr>
          <w:rFonts w:hint="eastAsia" w:ascii="黑体" w:hAnsi="黑体" w:eastAsia="黑体" w:cs="黑体"/>
          <w:b w:val="0"/>
          <w:bCs/>
          <w:snapToGrid w:val="0"/>
          <w:kern w:val="2"/>
          <w:sz w:val="28"/>
          <w:szCs w:val="28"/>
          <w:lang w:val="en-US" w:eastAsia="zh-CN" w:bidi="ar-SA"/>
        </w:rPr>
      </w:pPr>
    </w:p>
    <w:p>
      <w:pPr>
        <w:wordWrap w:val="0"/>
        <w:adjustRightInd w:val="0"/>
        <w:snapToGrid w:val="0"/>
        <w:spacing w:line="579" w:lineRule="exact"/>
        <w:jc w:val="left"/>
        <w:rPr>
          <w:rFonts w:hint="eastAsia" w:ascii="黑体" w:hAnsi="黑体" w:eastAsia="黑体" w:cs="黑体"/>
          <w:b w:val="0"/>
          <w:bCs/>
          <w:snapToGrid w:val="0"/>
          <w:kern w:val="2"/>
          <w:sz w:val="28"/>
          <w:szCs w:val="28"/>
          <w:lang w:val="en-US" w:eastAsia="zh-CN" w:bidi="ar-SA"/>
        </w:rPr>
      </w:pPr>
    </w:p>
    <w:p>
      <w:pPr>
        <w:wordWrap w:val="0"/>
        <w:adjustRightInd w:val="0"/>
        <w:snapToGrid w:val="0"/>
        <w:spacing w:line="579" w:lineRule="exact"/>
        <w:jc w:val="left"/>
        <w:rPr>
          <w:rFonts w:hint="eastAsia" w:ascii="黑体" w:hAnsi="黑体" w:eastAsia="黑体" w:cs="黑体"/>
          <w:b w:val="0"/>
          <w:bCs/>
          <w:snapToGrid w:val="0"/>
          <w:kern w:val="2"/>
          <w:sz w:val="28"/>
          <w:szCs w:val="28"/>
          <w:lang w:val="en-US" w:eastAsia="zh-CN" w:bidi="ar-SA"/>
        </w:rPr>
      </w:pPr>
    </w:p>
    <w:p>
      <w:pPr>
        <w:wordWrap w:val="0"/>
        <w:adjustRightInd w:val="0"/>
        <w:snapToGrid w:val="0"/>
        <w:spacing w:line="579" w:lineRule="exact"/>
        <w:jc w:val="left"/>
        <w:rPr>
          <w:rFonts w:hint="eastAsia" w:ascii="黑体" w:hAnsi="黑体" w:eastAsia="黑体" w:cs="黑体"/>
          <w:b w:val="0"/>
          <w:bCs/>
          <w:snapToGrid w:val="0"/>
          <w:kern w:val="2"/>
          <w:sz w:val="28"/>
          <w:szCs w:val="28"/>
          <w:lang w:val="en-US" w:eastAsia="zh-CN" w:bidi="ar-SA"/>
        </w:rPr>
      </w:pPr>
    </w:p>
    <w:p>
      <w:pPr>
        <w:wordWrap w:val="0"/>
        <w:adjustRightInd w:val="0"/>
        <w:snapToGrid w:val="0"/>
        <w:spacing w:line="579" w:lineRule="exact"/>
        <w:jc w:val="left"/>
      </w:pPr>
      <w:r>
        <w:rPr>
          <w:rFonts w:hint="eastAsia" w:ascii="黑体" w:hAnsi="黑体" w:eastAsia="黑体" w:cs="黑体"/>
          <w:b w:val="0"/>
          <w:bCs/>
          <w:snapToGrid w:val="0"/>
          <w:kern w:val="2"/>
          <w:sz w:val="28"/>
          <w:szCs w:val="28"/>
          <w:lang w:val="en-US" w:eastAsia="zh-CN" w:bidi="ar-SA"/>
        </w:rPr>
        <w:t>公开方式：</w:t>
      </w:r>
      <w:r>
        <w:rPr>
          <w:rFonts w:hint="eastAsia" w:ascii="仿宋_GB2312" w:hAnsi="仿宋_GB2312" w:eastAsia="仿宋_GB2312" w:cs="仿宋_GB2312"/>
          <w:b w:val="0"/>
          <w:bCs w:val="0"/>
          <w:snapToGrid/>
          <w:color w:val="auto"/>
          <w:kern w:val="2"/>
          <w:sz w:val="28"/>
          <w:szCs w:val="28"/>
          <w:lang w:val="en-US" w:eastAsia="zh-CN" w:bidi="ar-SA"/>
        </w:rPr>
        <w:t>主动公开</w:t>
      </w:r>
    </w:p>
    <w:sectPr>
      <w:footerReference r:id="rId3" w:type="default"/>
      <w:pgSz w:w="11906" w:h="16838"/>
      <w:pgMar w:top="2098" w:right="1474" w:bottom="1984" w:left="1587" w:header="851" w:footer="1361" w:gutter="0"/>
      <w:pgNumType w:fmt="decimal" w:start="2"/>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eastAsia="宋体"/>
        <w:lang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">
              <v:fill on="f" focussize="0,0"/>
              <v:stroke on="f" weight="0.5pt"/>
              <v:imagedata o:title=""/>
              <o:lock v:ext="edit" aspectratio="f"/>
              <v:textbox inset="0mm,0mm,0mm,0mm" style="mso-fit-shape-to-text:t;">
                <w:txbxContent>
                  <w:p>
                    <w:pPr>
                      <w:pStyle w:val="3"/>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DD6DDF"/>
    <w:rsid w:val="0F9741DE"/>
    <w:rsid w:val="1BF9603E"/>
    <w:rsid w:val="35F7EB87"/>
    <w:rsid w:val="3FDA0946"/>
    <w:rsid w:val="45DD6DDF"/>
    <w:rsid w:val="5BEBE659"/>
    <w:rsid w:val="6FFF285D"/>
    <w:rsid w:val="737F8E6E"/>
    <w:rsid w:val="77D17171"/>
    <w:rsid w:val="77FE3B33"/>
    <w:rsid w:val="7BBA1BB6"/>
    <w:rsid w:val="7BEF5761"/>
    <w:rsid w:val="7FF39BE0"/>
    <w:rsid w:val="7FFF1714"/>
    <w:rsid w:val="9BDF419B"/>
    <w:rsid w:val="9E5FBEA5"/>
    <w:rsid w:val="D7379323"/>
    <w:rsid w:val="D776E779"/>
    <w:rsid w:val="EFC74B45"/>
    <w:rsid w:val="EFFBB1B9"/>
    <w:rsid w:val="FDBF4363"/>
    <w:rsid w:val="FEFED7AB"/>
    <w:rsid w:val="FF36AEE2"/>
    <w:rsid w:val="FF7D6B5B"/>
    <w:rsid w:val="FFBF64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widowControl w:val="0"/>
      <w:ind w:left="104"/>
      <w:jc w:val="both"/>
    </w:pPr>
    <w:rPr>
      <w:rFonts w:ascii="宋体" w:hAnsi="宋体" w:eastAsia="宋体" w:cs="宋体"/>
      <w:kern w:val="2"/>
      <w:sz w:val="32"/>
      <w:szCs w:val="32"/>
      <w:lang w:val="zh-CN" w:eastAsia="zh-CN" w:bidi="zh-CN"/>
    </w:rPr>
  </w:style>
  <w:style w:type="paragraph" w:styleId="3">
    <w:name w:val="footer"/>
    <w:qFormat/>
    <w:uiPriority w:val="0"/>
    <w:pPr>
      <w:widowControl w:val="0"/>
      <w:tabs>
        <w:tab w:val="center" w:pos="4153"/>
        <w:tab w:val="right" w:pos="8306"/>
      </w:tabs>
      <w:snapToGrid w:val="0"/>
      <w:jc w:val="left"/>
    </w:pPr>
    <w:rPr>
      <w:rFonts w:ascii="Calibri" w:hAnsi="Calibri" w:eastAsia="宋体" w:cs="Times New Roman"/>
      <w:kern w:val="2"/>
      <w:sz w:val="18"/>
      <w:szCs w:val="24"/>
      <w:lang w:val="en-US" w:eastAsia="zh-CN" w:bidi="ar-SA"/>
    </w:rPr>
  </w:style>
  <w:style w:type="paragraph" w:styleId="4">
    <w:name w:val="header"/>
    <w:qFormat/>
    <w:uiPriority w:val="0"/>
    <w:pPr>
      <w:widowControl w:val="0"/>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heme="minorHAnsi" w:hAnsiTheme="minorHAnsi" w:eastAsiaTheme="minorEastAsia" w:cstheme="minorBidi"/>
      <w:kern w:val="2"/>
      <w:sz w:val="18"/>
      <w:szCs w:val="24"/>
      <w:lang w:val="en-US" w:eastAsia="zh-CN" w:bidi="ar-SA"/>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Office_11.8.2.11851_F1E327BC-269C-435d-A152-05C5408002CA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2025-05-19T15:18:00Z</dcterms:created>
  <dc:creator>周梭</dc:creator>
  <cp:lastModifiedBy>任蓓</cp:lastModifiedBy>
  <dcterms:modified xsi:type="dcterms:W3CDTF">2025-12-29T15:39:57Z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2052-11.8.2.11851</vt:lpwstr>
  </property>
  <property fmtid="{D5CDD505-2E9C-101B-9397-08002B2CF9AE}" pid="3" name="ICV">
    <vt:lpwstr>4A2385C5ACD9568725E9266891C81BD3</vt:lpwstr>
  </property>
</Properties>
</file>