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spacing w:line="579" w:lineRule="exact"/>
        <w:jc w:val="left"/>
        <w:rPr>
          <w:sz w:val="32"/>
          <w:szCs w:val="32"/>
        </w:rPr>
      </w:pPr>
    </w:p>
    <w:p>
      <w:pPr>
        <w:wordWrap w:val="0"/>
        <w:spacing w:line="579" w:lineRule="exact"/>
        <w:jc w:val="left"/>
        <w:rPr>
          <w:rFonts w:hint="eastAsia"/>
          <w:sz w:val="32"/>
          <w:szCs w:val="32"/>
          <w:lang w:val="en-US" w:eastAsia="zh-CN"/>
        </w:rPr>
      </w:pPr>
      <w:r>
        <w:rPr>
          <w:rFonts w:hint="eastAsia" w:asciiTheme="minorHAnsi" w:eastAsiaTheme="minorEastAsia"/>
          <w:sz w:val="32"/>
          <w:szCs w:val="32"/>
          <w:lang w:val="en-US" w:eastAsia="zh-CN"/>
        </w:rPr>
        <w:t xml:space="preserve"> </w:t>
      </w:r>
    </w:p>
    <w:p>
      <w:pPr>
        <w:keepNext w:val="0"/>
        <w:keepLines w:val="0"/>
        <w:pageBreakBefore w:val="0"/>
        <w:widowControl w:val="0"/>
        <w:kinsoku/>
        <w:wordWrap w:val="0"/>
        <w:overflowPunct/>
        <w:topLinePunct w:val="0"/>
        <w:autoSpaceDE/>
        <w:autoSpaceDN/>
        <w:bidi w:val="0"/>
        <w:adjustRightInd w:val="0"/>
        <w:snapToGrid w:val="0"/>
        <w:spacing w:beforeLines="0" w:beforeAutospacing="0" w:afterAutospacing="0" w:line="579" w:lineRule="exact"/>
        <w:ind w:right="0" w:rightChars="0"/>
        <w:jc w:val="right"/>
        <w:textAlignment w:val="auto"/>
        <w:outlineLvl w:val="9"/>
        <w:rPr>
          <w:rFonts w:hint="eastAsia" w:ascii="仿宋_GB2312" w:hAnsi="仿宋_GB2312" w:eastAsia="仿宋_GB2312" w:cs="仿宋_GB2312"/>
          <w:snapToGrid w:val="0"/>
          <w:kern w:val="2"/>
          <w:sz w:val="32"/>
          <w:szCs w:val="32"/>
          <w:lang w:val="en-US" w:eastAsia="zh-CN" w:bidi="ar-SA"/>
        </w:rPr>
      </w:pPr>
      <w:r>
        <w:rPr>
          <w:rFonts w:hint="eastAsia" w:ascii="仿宋_GB2312" w:hAnsi="仿宋_GB2312" w:eastAsia="仿宋_GB2312" w:cs="仿宋_GB2312"/>
          <w:snapToGrid w:val="0"/>
          <w:kern w:val="2"/>
          <w:sz w:val="32"/>
          <w:szCs w:val="32"/>
          <w:lang w:val="en-US" w:eastAsia="zh-CN" w:bidi="ar-SA"/>
        </w:rPr>
        <w:t>深福建函〔2025〕150号</w:t>
      </w:r>
    </w:p>
    <w:p>
      <w:pPr>
        <w:keepNext w:val="0"/>
        <w:keepLines w:val="0"/>
        <w:pageBreakBefore w:val="0"/>
        <w:widowControl w:val="0"/>
        <w:kinsoku/>
        <w:wordWrap w:val="0"/>
        <w:overflowPunct/>
        <w:topLinePunct w:val="0"/>
        <w:autoSpaceDE/>
        <w:autoSpaceDN/>
        <w:bidi w:val="0"/>
        <w:adjustRightInd w:val="0"/>
        <w:snapToGrid w:val="0"/>
        <w:spacing w:beforeLines="0" w:beforeAutospacing="0" w:afterAutospacing="0" w:line="579" w:lineRule="exact"/>
        <w:ind w:right="0" w:rightChars="0"/>
        <w:jc w:val="left"/>
        <w:textAlignment w:val="auto"/>
        <w:outlineLvl w:val="9"/>
        <w:rPr>
          <w:rFonts w:hint="eastAsia" w:ascii="仿宋_GB2312" w:hAnsi="仿宋_GB2312" w:eastAsia="仿宋_GB2312" w:cs="仿宋_GB2312"/>
          <w:snapToGrid w:val="0"/>
          <w:kern w:val="2"/>
          <w:sz w:val="32"/>
          <w:szCs w:val="32"/>
          <w:lang w:val="en-US" w:eastAsia="zh-CN" w:bidi="ar-SA"/>
        </w:rPr>
      </w:pPr>
    </w:p>
    <w:p>
      <w:pPr>
        <w:keepNext w:val="0"/>
        <w:keepLines w:val="0"/>
        <w:pageBreakBefore w:val="0"/>
        <w:widowControl w:val="0"/>
        <w:kinsoku/>
        <w:wordWrap w:val="0"/>
        <w:overflowPunct/>
        <w:topLinePunct w:val="0"/>
        <w:autoSpaceDE/>
        <w:autoSpaceDN/>
        <w:bidi w:val="0"/>
        <w:adjustRightInd w:val="0"/>
        <w:snapToGrid w:val="0"/>
        <w:spacing w:beforeLines="0" w:beforeAutospacing="0" w:afterAutospacing="0" w:line="579" w:lineRule="exact"/>
        <w:ind w:left="0" w:leftChars="0" w:right="0" w:rightChars="0"/>
        <w:jc w:val="center"/>
        <w:textAlignment w:val="auto"/>
        <w:outlineLvl w:val="9"/>
        <w:rPr>
          <w:rFonts w:hint="eastAsia" w:ascii="方正小标宋简体" w:hAnsi="方正小标宋简体" w:eastAsia="方正小标宋简体" w:cs="方正小标宋简体"/>
          <w:spacing w:val="0"/>
          <w:kern w:val="2"/>
          <w:sz w:val="44"/>
          <w:szCs w:val="44"/>
          <w:lang w:val="en-US" w:eastAsia="zh-CN" w:bidi="ar-SA"/>
        </w:rPr>
      </w:pPr>
      <w:r>
        <w:rPr>
          <w:rFonts w:hint="eastAsia" w:ascii="方正小标宋简体" w:hAnsi="方正小标宋简体" w:eastAsia="方正小标宋简体" w:cs="方正小标宋简体"/>
          <w:spacing w:val="0"/>
          <w:kern w:val="2"/>
          <w:sz w:val="44"/>
          <w:szCs w:val="44"/>
          <w:lang w:val="en-US" w:eastAsia="zh-CN" w:bidi="ar-SA"/>
        </w:rPr>
        <w:t>深圳市福田区住房和建设局对福田区第八届</w:t>
      </w:r>
    </w:p>
    <w:p>
      <w:pPr>
        <w:keepNext w:val="0"/>
        <w:keepLines w:val="0"/>
        <w:pageBreakBefore w:val="0"/>
        <w:widowControl w:val="0"/>
        <w:kinsoku/>
        <w:wordWrap w:val="0"/>
        <w:overflowPunct/>
        <w:topLinePunct w:val="0"/>
        <w:autoSpaceDE/>
        <w:autoSpaceDN/>
        <w:bidi w:val="0"/>
        <w:adjustRightInd w:val="0"/>
        <w:snapToGrid w:val="0"/>
        <w:spacing w:beforeLines="0" w:beforeAutospacing="0" w:afterAutospacing="0" w:line="579" w:lineRule="exact"/>
        <w:ind w:left="0" w:leftChars="0" w:right="0" w:rightChars="0"/>
        <w:jc w:val="center"/>
        <w:textAlignment w:val="auto"/>
        <w:outlineLvl w:val="9"/>
        <w:rPr>
          <w:rFonts w:hint="eastAsia" w:ascii="方正小标宋简体" w:hAnsi="方正小标宋简体" w:eastAsia="方正小标宋简体" w:cs="方正小标宋简体"/>
          <w:spacing w:val="0"/>
          <w:kern w:val="2"/>
          <w:sz w:val="44"/>
          <w:szCs w:val="44"/>
          <w:lang w:val="en-US" w:eastAsia="zh-CN" w:bidi="ar-SA"/>
        </w:rPr>
      </w:pPr>
      <w:r>
        <w:rPr>
          <w:rFonts w:hint="eastAsia" w:ascii="方正小标宋简体" w:hAnsi="方正小标宋简体" w:eastAsia="方正小标宋简体" w:cs="方正小标宋简体"/>
          <w:spacing w:val="0"/>
          <w:kern w:val="2"/>
          <w:sz w:val="44"/>
          <w:szCs w:val="44"/>
          <w:lang w:val="en-US" w:eastAsia="zh-CN" w:bidi="ar-SA"/>
        </w:rPr>
        <w:t>人民代表大会第五次会议第20250182号</w:t>
      </w:r>
    </w:p>
    <w:p>
      <w:pPr>
        <w:keepNext w:val="0"/>
        <w:keepLines w:val="0"/>
        <w:pageBreakBefore w:val="0"/>
        <w:widowControl w:val="0"/>
        <w:kinsoku/>
        <w:wordWrap w:val="0"/>
        <w:overflowPunct/>
        <w:topLinePunct w:val="0"/>
        <w:autoSpaceDE/>
        <w:autoSpaceDN/>
        <w:bidi w:val="0"/>
        <w:adjustRightInd w:val="0"/>
        <w:snapToGrid w:val="0"/>
        <w:spacing w:beforeLines="0" w:beforeAutospacing="0" w:afterAutospacing="0" w:line="579" w:lineRule="exact"/>
        <w:ind w:left="0" w:leftChars="0" w:right="0" w:rightChars="0"/>
        <w:jc w:val="center"/>
        <w:textAlignment w:val="auto"/>
        <w:outlineLvl w:val="9"/>
        <w:rPr>
          <w:rFonts w:hint="eastAsia" w:ascii="方正小标宋简体" w:hAnsi="方正小标宋简体" w:eastAsia="方正小标宋简体" w:cs="方正小标宋简体"/>
          <w:spacing w:val="0"/>
          <w:kern w:val="2"/>
          <w:sz w:val="44"/>
          <w:szCs w:val="44"/>
          <w:lang w:val="en-US" w:eastAsia="zh-CN" w:bidi="ar-SA"/>
        </w:rPr>
      </w:pPr>
      <w:r>
        <w:rPr>
          <w:rFonts w:hint="eastAsia" w:ascii="方正小标宋简体" w:hAnsi="方正小标宋简体" w:eastAsia="方正小标宋简体" w:cs="方正小标宋简体"/>
          <w:spacing w:val="0"/>
          <w:kern w:val="2"/>
          <w:sz w:val="44"/>
          <w:szCs w:val="44"/>
          <w:lang w:val="en-US" w:eastAsia="zh-CN" w:bidi="ar-SA"/>
        </w:rPr>
        <w:t>建议的答复</w:t>
      </w:r>
    </w:p>
    <w:p>
      <w:pPr>
        <w:keepNext w:val="0"/>
        <w:keepLines w:val="0"/>
        <w:pageBreakBefore w:val="0"/>
        <w:widowControl w:val="0"/>
        <w:kinsoku/>
        <w:wordWrap w:val="0"/>
        <w:overflowPunct/>
        <w:topLinePunct w:val="0"/>
        <w:autoSpaceDE/>
        <w:autoSpaceDN/>
        <w:bidi w:val="0"/>
        <w:adjustRightInd w:val="0"/>
        <w:snapToGrid w:val="0"/>
        <w:spacing w:beforeLines="0" w:beforeAutospacing="0" w:afterAutospacing="0" w:line="579" w:lineRule="exact"/>
        <w:ind w:left="0" w:leftChars="0" w:right="0" w:rightChars="0"/>
        <w:jc w:val="both"/>
        <w:textAlignment w:val="auto"/>
        <w:outlineLvl w:val="9"/>
        <w:rPr>
          <w:rFonts w:hint="eastAsia" w:ascii="仿宋_GB2312" w:hAnsi="仿宋_GB2312" w:eastAsia="仿宋_GB2312" w:cs="仿宋_GB2312"/>
          <w:kern w:val="2"/>
          <w:sz w:val="32"/>
          <w:szCs w:val="32"/>
          <w:lang w:val="en-US" w:eastAsia="zh-CN" w:bidi="ar-SA"/>
        </w:rPr>
      </w:pPr>
    </w:p>
    <w:p>
      <w:pPr>
        <w:keepNext w:val="0"/>
        <w:keepLines w:val="0"/>
        <w:pageBreakBefore w:val="0"/>
        <w:widowControl w:val="0"/>
        <w:kinsoku/>
        <w:wordWrap w:val="0"/>
        <w:overflowPunct/>
        <w:topLinePunct w:val="0"/>
        <w:autoSpaceDE/>
        <w:autoSpaceDN/>
        <w:bidi w:val="0"/>
        <w:adjustRightInd w:val="0"/>
        <w:snapToGrid w:val="0"/>
        <w:spacing w:beforeLines="0" w:beforeAutospacing="0" w:afterAutospacing="0" w:line="579" w:lineRule="exact"/>
        <w:ind w:left="0" w:leftChars="0" w:right="0" w:rightChars="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尊敬的刘海军等代表：</w:t>
      </w:r>
    </w:p>
    <w:p>
      <w:pPr>
        <w:keepNext w:val="0"/>
        <w:keepLines w:val="0"/>
        <w:pageBreakBefore w:val="0"/>
        <w:widowControl w:val="0"/>
        <w:kinsoku/>
        <w:wordWrap w:val="0"/>
        <w:overflowPunct/>
        <w:topLinePunct w:val="0"/>
        <w:autoSpaceDE/>
        <w:autoSpaceDN/>
        <w:bidi w:val="0"/>
        <w:adjustRightInd w:val="0"/>
        <w:snapToGrid w:val="0"/>
        <w:spacing w:beforeLines="0" w:beforeAutospacing="0" w:afterAutospacing="0" w:line="579" w:lineRule="exact"/>
        <w:ind w:left="0" w:leftChars="0" w:right="0" w:rightChars="0" w:firstLine="640" w:firstLineChars="200"/>
        <w:jc w:val="both"/>
        <w:textAlignment w:val="auto"/>
        <w:outlineLvl w:val="9"/>
        <w:rPr>
          <w:rFonts w:hint="eastAsia" w:ascii="仿宋_GB2312" w:hAnsi="仿宋_GB2312" w:eastAsia="仿宋_GB2312" w:cs="仿宋_GB2312"/>
          <w:snapToGrid w:val="0"/>
          <w:kern w:val="2"/>
          <w:sz w:val="32"/>
          <w:szCs w:val="32"/>
          <w:lang w:val="en-US" w:eastAsia="zh-CN" w:bidi="ar-SA"/>
        </w:rPr>
      </w:pPr>
      <w:r>
        <w:rPr>
          <w:rFonts w:hint="eastAsia" w:ascii="仿宋_GB2312" w:hAnsi="仿宋_GB2312" w:eastAsia="仿宋_GB2312" w:cs="仿宋_GB2312"/>
          <w:snapToGrid w:val="0"/>
          <w:kern w:val="2"/>
          <w:sz w:val="32"/>
          <w:szCs w:val="32"/>
          <w:lang w:val="en-US" w:eastAsia="zh-CN" w:bidi="ar-SA"/>
        </w:rPr>
        <w:t>福田区第八届人民代表大会第五次会议第</w:t>
      </w:r>
      <w:r>
        <w:rPr>
          <w:rFonts w:hint="eastAsia" w:ascii="仿宋_GB2312" w:hAnsi="仿宋_GB2312" w:eastAsia="仿宋_GB2312" w:cs="仿宋_GB2312"/>
          <w:kern w:val="2"/>
          <w:sz w:val="32"/>
          <w:szCs w:val="32"/>
          <w:lang w:val="en-US" w:eastAsia="zh-CN" w:bidi="ar-SA"/>
        </w:rPr>
        <w:t>20250182</w:t>
      </w:r>
      <w:r>
        <w:rPr>
          <w:rFonts w:hint="eastAsia" w:ascii="仿宋_GB2312" w:hAnsi="仿宋_GB2312" w:eastAsia="仿宋_GB2312" w:cs="仿宋_GB2312"/>
          <w:snapToGrid w:val="0"/>
          <w:kern w:val="2"/>
          <w:sz w:val="32"/>
          <w:szCs w:val="32"/>
          <w:lang w:val="en-US" w:eastAsia="zh-CN" w:bidi="ar-SA"/>
        </w:rPr>
        <w:t>号</w:t>
      </w:r>
      <w:r>
        <w:rPr>
          <w:rFonts w:hint="eastAsia" w:ascii="仿宋_GB2312" w:hAnsi="仿宋_GB2312" w:eastAsia="仿宋_GB2312" w:cs="仿宋_GB2312"/>
          <w:kern w:val="2"/>
          <w:sz w:val="32"/>
          <w:szCs w:val="32"/>
          <w:lang w:val="en-US" w:eastAsia="zh-CN" w:bidi="ar-SA"/>
        </w:rPr>
        <w:t>《关于福田高质量发展提升环境无障碍的建议》</w:t>
      </w:r>
      <w:r>
        <w:rPr>
          <w:rFonts w:hint="eastAsia" w:ascii="仿宋_GB2312" w:hAnsi="仿宋_GB2312" w:eastAsia="仿宋_GB2312" w:cs="仿宋_GB2312"/>
          <w:snapToGrid w:val="0"/>
          <w:kern w:val="2"/>
          <w:sz w:val="32"/>
          <w:szCs w:val="32"/>
          <w:lang w:val="en-US" w:eastAsia="zh-CN" w:bidi="ar-SA"/>
        </w:rPr>
        <w:t>收悉。经认真研究，现将办理意见回复如下：</w:t>
      </w:r>
    </w:p>
    <w:p>
      <w:pPr>
        <w:keepNext w:val="0"/>
        <w:keepLines w:val="0"/>
        <w:pageBreakBefore w:val="0"/>
        <w:widowControl w:val="0"/>
        <w:numPr>
          <w:ilvl w:val="-1"/>
          <w:numId w:val="0"/>
        </w:numPr>
        <w:kinsoku/>
        <w:wordWrap w:val="0"/>
        <w:overflowPunct/>
        <w:topLinePunct w:val="0"/>
        <w:autoSpaceDE/>
        <w:autoSpaceDN/>
        <w:bidi w:val="0"/>
        <w:adjustRightInd w:val="0"/>
        <w:snapToGrid w:val="0"/>
        <w:spacing w:beforeLines="0" w:line="579" w:lineRule="exact"/>
        <w:ind w:left="0" w:leftChars="0" w:right="0" w:rightChars="0" w:firstLine="640" w:firstLineChars="200"/>
        <w:jc w:val="both"/>
        <w:textAlignment w:val="auto"/>
        <w:outlineLvl w:val="9"/>
        <w:rPr>
          <w:rFonts w:hint="eastAsia" w:ascii="楷体" w:hAnsi="楷体" w:eastAsia="楷体" w:cs="楷体"/>
          <w:kern w:val="2"/>
          <w:sz w:val="32"/>
          <w:szCs w:val="32"/>
          <w:lang w:val="en-US" w:eastAsia="zh-CN" w:bidi="ar-SA"/>
        </w:rPr>
      </w:pPr>
      <w:r>
        <w:rPr>
          <w:rFonts w:hint="eastAsia" w:ascii="黑体" w:hAnsi="黑体" w:eastAsia="黑体" w:cs="黑体"/>
          <w:kern w:val="2"/>
          <w:sz w:val="32"/>
          <w:szCs w:val="32"/>
          <w:lang w:val="en-US" w:eastAsia="zh-CN" w:bidi="ar-SA"/>
        </w:rPr>
        <w:t>一、规划建设与质量监管方面</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beforeLines="0" w:line="579" w:lineRule="exact"/>
        <w:ind w:right="0" w:rightChars="0" w:firstLine="640" w:firstLineChars="20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是健全技术审查机制，筑牢设计质量防线。通过第三方技术审查方式，建立“专业审图+专家指导”双轨审查体系。现组建由60名国家注册审图师构成的专业团队，依托数字化审图平台实施无障碍设施专项审查，重点针对出入口坡道、无障碍电梯等12类关键节点进行技术把关。建立“问题清单-整改通知-复查验证”闭环管理机制，通过定期技术会商、专家联审等方式，确保设计缺陷100%整改到位。</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beforeLines="0" w:line="579" w:lineRule="exact"/>
        <w:ind w:right="0" w:rightChars="0" w:firstLine="640" w:firstLineChars="200"/>
        <w:jc w:val="both"/>
        <w:textAlignment w:val="auto"/>
        <w:outlineLvl w:val="9"/>
        <w:rPr>
          <w:rFonts w:hint="eastAsia" w:ascii="仿宋_GB2312" w:hAnsi="仿宋_GB2312" w:eastAsia="仿宋_GB2312" w:cs="仿宋_GB2312"/>
          <w:kern w:val="2"/>
          <w:sz w:val="32"/>
          <w:szCs w:val="32"/>
          <w:lang w:val="en-US" w:eastAsia="zh-CN" w:bidi="ar-SA"/>
        </w:rPr>
        <w:sectPr>
          <w:pgSz w:w="11906" w:h="16838"/>
          <w:pgMar w:top="2098" w:right="1474" w:bottom="1984" w:left="1587" w:header="851" w:footer="1361" w:gutter="0"/>
          <w:pgNumType w:fmt="decimal"/>
          <w:cols w:space="425" w:num="1"/>
          <w:docGrid w:type="lines" w:linePitch="312" w:charSpace="0"/>
        </w:sectPr>
      </w:pPr>
      <w:r>
        <w:rPr>
          <w:rFonts w:hint="eastAsia" w:ascii="仿宋_GB2312" w:hAnsi="仿宋_GB2312" w:eastAsia="仿宋_GB2312" w:cs="仿宋_GB2312"/>
          <w:kern w:val="2"/>
          <w:sz w:val="32"/>
          <w:szCs w:val="32"/>
          <w:lang w:val="en-US" w:eastAsia="zh-CN" w:bidi="ar-SA"/>
        </w:rPr>
        <w:t>二是强化全过程质量监督，压实主体责任链条。构建“五方责任主体（建设、勘察、设计、施工、监理）+政府监督”协同</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beforeLines="0" w:line="579" w:lineRule="exact"/>
        <w:ind w:right="0" w:rightChars="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管理体系。重点实施专项验收阶段、竣工验收阶段、监督核查阶段三阶段管控，一是专项验收阶段实施无障碍设施“预验收”制度，由总监理工程师牵头组建验收小组，对验收指标进行量化评分；二是竣工验收阶段要求建设单位严格履行首要责任，组织设计、施工等单位逐项对照无障碍设施设计专篇进行核验；三是监督核查阶段质量监督组采取“双随机一公开”方式，对关键验收节点进行现场复核。</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beforeLines="0" w:line="579" w:lineRule="exact"/>
        <w:ind w:right="0" w:rightChars="0" w:firstLine="640" w:firstLineChars="20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三是严把竣工验收备案审核关，健全长效管控机制。建立“四不备案”管理制度：无障碍设施专项验收未通过的不予备案、监督整改通知书未闭环的不予备案、工程质量监督报告未载明验收结论的不予备案、与审查合格图纸不符的不予备案。创新开发建设工程档案电子核验系统，实现无障碍设施验收资料在线比对，同步建立后评估机制，对交付使用满一年的项目开展无障碍设施使用效能跟踪评估。</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beforeLines="0" w:line="579" w:lineRule="exact"/>
        <w:ind w:right="0" w:rightChars="0" w:firstLine="640" w:firstLineChars="200"/>
        <w:jc w:val="both"/>
        <w:textAlignment w:val="auto"/>
        <w:outlineLvl w:val="9"/>
        <w:rPr>
          <w:rFonts w:hint="eastAsia" w:ascii="楷体" w:hAnsi="楷体" w:eastAsia="楷体" w:cs="楷体"/>
          <w:kern w:val="2"/>
          <w:sz w:val="32"/>
          <w:szCs w:val="32"/>
          <w:lang w:val="en-US" w:eastAsia="zh-CN" w:bidi="ar-SA"/>
        </w:rPr>
      </w:pPr>
      <w:r>
        <w:rPr>
          <w:rFonts w:hint="eastAsia" w:ascii="黑体" w:hAnsi="黑体" w:eastAsia="黑体" w:cs="黑体"/>
          <w:kern w:val="2"/>
          <w:sz w:val="32"/>
          <w:szCs w:val="32"/>
          <w:lang w:val="en-US" w:eastAsia="zh-CN" w:bidi="ar-SA"/>
        </w:rPr>
        <w:t>二、交通设施优化提升方面</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beforeLines="0" w:line="579" w:lineRule="exact"/>
        <w:ind w:right="0" w:rightChars="0" w:firstLine="640" w:firstLineChars="20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是关于对经营性停车场残疾人专用停车位统一加装智能管理和投诉系统的建议。根据《深圳市经营性停车场设施管理办法》“第九条经营性停车场无障碍车位提供数应当符合法律、法规和国家相关标准的要求，并设置相应指引标牌。”目前经营性停车场许可审批均按相关标准要求配置无障碍车位数及指引标牌，并未对智能管理和投诉系统的升级改造做出强制要求。后续区交通部门在经营性停车场许可审批过程中将严格落实无障碍车位的有关要求，并建议停车场物业管理单位结合现场实际，积极研究升级改造管理系统，提供人性化的停车管理服务。</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beforeLines="0" w:line="579" w:lineRule="exact"/>
        <w:ind w:right="0" w:rightChars="0" w:firstLine="640" w:firstLineChars="20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是关于福田高铁站的士场站允许残疾人，高龄老人，孕婴及慢病损伤等群体搭乘的非的士车辆进入的建议。福田高铁站的士站是的士车辆排队候客的专用场站，因排队候客车辆较多，日均进站的士车辆约3000台次，非的士车辆进入场站极为不便，同时也不利于场站管理。为方便残疾人、高龄老人，孕婴及慢病损伤等群体进站通行，2025年2月18日，区交通部门会同福田高铁站物业管理部门深圳地铁集团召开了现场会议，研究站内无障碍通道设置问题，目前该项目由地铁集团具体实施。经了解，地铁集团拟同步在福田高铁站设置社会停车场，无障碍通道和社会停车场项目已在推进中，计划于今年9月份完成并投入使用。</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beforeLines="0" w:line="579" w:lineRule="exact"/>
        <w:ind w:right="0" w:rightChars="0" w:firstLine="640" w:firstLineChars="20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三是关于在福田核心主干道打造无障碍通行示范大道的建议。2024年，为落实全国无障碍建设示范城市评估工作，区交通部门会同各有关部门对福中路（黄埔雅苑路段）以及福田中心区部分重点路段的道路无障碍设施开展了全面排查整治工作。后续区交通部门将继续加强沟通协作，各司其职，共同推进辖区无障碍示范道路建设工作，打造有爱无障的道路通行环境。</w:t>
      </w:r>
    </w:p>
    <w:p>
      <w:pPr>
        <w:keepNext w:val="0"/>
        <w:keepLines w:val="0"/>
        <w:pageBreakBefore w:val="0"/>
        <w:widowControl w:val="0"/>
        <w:numPr>
          <w:ilvl w:val="-1"/>
          <w:numId w:val="0"/>
        </w:numPr>
        <w:kinsoku/>
        <w:wordWrap w:val="0"/>
        <w:overflowPunct/>
        <w:topLinePunct w:val="0"/>
        <w:autoSpaceDE/>
        <w:autoSpaceDN/>
        <w:bidi w:val="0"/>
        <w:adjustRightInd w:val="0"/>
        <w:snapToGrid w:val="0"/>
        <w:spacing w:beforeLines="0" w:line="579" w:lineRule="exact"/>
        <w:ind w:right="0" w:rightChars="0" w:firstLine="697" w:firstLineChars="218"/>
        <w:jc w:val="both"/>
        <w:textAlignment w:val="auto"/>
        <w:outlineLvl w:val="9"/>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三、公园景区服务升级方面</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beforeLines="0" w:line="579" w:lineRule="exact"/>
        <w:ind w:right="0" w:rightChars="0" w:firstLine="640" w:firstLineChars="20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一是设置无障碍停车位。莲花山公园东南门停车场设有4个无障碍车位，专供残疾人司机停放，违规占用将被列入黑名单。</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beforeLines="0" w:line="579" w:lineRule="exact"/>
        <w:ind w:right="0" w:rightChars="0" w:firstLine="640" w:firstLineChars="20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是升级无障碍设施，便利登山阅景。登山步道与观景台进行了无障碍改造，公园主峰登山步道增设缓坡设计，减少台阶障碍，同时山顶广场的邓小平铜像观景台配备无障碍通道，便于轮椅通行。此外，山顶“网红公厕”融入艺术元素，并设有无障碍卫生间，提升使用体验。</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beforeLines="0" w:line="579" w:lineRule="exact"/>
        <w:ind w:right="0" w:rightChars="0" w:firstLine="640" w:firstLineChars="20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三是联合各相关单位，推出便民观光车服务。线路以园内主要景观点为纽带，全程约2.8公里，单程运行时间约20-30分钟，覆盖深业上城、福田中心区商圈及周边文化场馆，车辆配备轮椅位，适合老年、儿童及行动不便者。</w:t>
      </w:r>
    </w:p>
    <w:p>
      <w:pPr>
        <w:keepNext w:val="0"/>
        <w:keepLines w:val="0"/>
        <w:pageBreakBefore w:val="0"/>
        <w:widowControl w:val="0"/>
        <w:numPr>
          <w:ilvl w:val="-1"/>
          <w:numId w:val="0"/>
        </w:numPr>
        <w:kinsoku/>
        <w:wordWrap w:val="0"/>
        <w:overflowPunct/>
        <w:topLinePunct w:val="0"/>
        <w:autoSpaceDE/>
        <w:autoSpaceDN/>
        <w:bidi w:val="0"/>
        <w:adjustRightInd w:val="0"/>
        <w:snapToGrid w:val="0"/>
        <w:spacing w:beforeLines="0" w:line="579" w:lineRule="exact"/>
        <w:ind w:left="0" w:leftChars="0" w:right="0" w:rightChars="0" w:firstLine="640" w:firstLineChars="200"/>
        <w:jc w:val="both"/>
        <w:textAlignment w:val="auto"/>
        <w:outlineLvl w:val="9"/>
        <w:rPr>
          <w:rFonts w:hint="eastAsia" w:ascii="楷体" w:hAnsi="楷体" w:eastAsia="楷体" w:cs="楷体"/>
          <w:kern w:val="2"/>
          <w:sz w:val="32"/>
          <w:szCs w:val="32"/>
          <w:lang w:val="en-US" w:eastAsia="zh-CN" w:bidi="ar-SA"/>
        </w:rPr>
      </w:pPr>
      <w:r>
        <w:rPr>
          <w:rFonts w:hint="eastAsia" w:ascii="黑体" w:hAnsi="黑体" w:eastAsia="黑体" w:cs="黑体"/>
          <w:kern w:val="2"/>
          <w:sz w:val="32"/>
          <w:szCs w:val="32"/>
          <w:lang w:val="en-US" w:eastAsia="zh-CN" w:bidi="ar-SA"/>
        </w:rPr>
        <w:t>四、社会参与与创新实践方面</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beforeLines="0" w:line="579" w:lineRule="exact"/>
        <w:ind w:right="0" w:rightChars="0" w:firstLine="640" w:firstLineChars="20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是高质量积极备战2025年十五运会和残特奥会无障碍建设工作。举办培训讲座，在园岭、香蜜湖、福保、福田街道举办备战十五运会和残特奥会暨创建全国无障碍建设示范城市督导宣传行动大讲堂、福田区无障碍城市建设社会监督员培训讲座共15场，街道残联和社区残协、参与创建全国无障碍建设示范城市、益田完整社区建设、街道筹备十五运会和残特奥会福田赛区相关工作人员，及残联系统无障碍城市建设社会监督员参加，主要培训和解读《幸福城区 融合无碍——深圳市福田区参与创建全国无障碍建设示范城市工作手册》口袋书、讲解“路见”小程序使用方法、无障碍随手拍实践拍摄内容，讲解“十五运动会和残特奥会”赛事场馆周边实地考评点位测评标准等内容，着力提升相关人员无障碍城市建设督导水平和能力。</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beforeLines="0" w:line="579" w:lineRule="exact"/>
        <w:ind w:right="0" w:rightChars="0" w:firstLine="640" w:firstLineChars="20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二是根据创建全国文明城市无障碍督导工作测评标准要求，督导点位920个，以国家测评标准督导点位1407个。</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beforeLines="0" w:line="579" w:lineRule="exact"/>
        <w:ind w:right="0" w:rightChars="0" w:firstLine="640" w:firstLineChars="20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三是向无障碍设施建设主体单位提出审查意见。根据区建筑工务署《关于征求深圳市体育中心上步北路人行天桥工程、深圳市体育中心笋岗西路人行天桥工程、深圳市体育中心泥岗西路人行天桥工程施工图无障碍设计意见的函》，邀请专业机构对三座人行天桥工程施工图无障碍设计进行审查，并提出具体审查意见。</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beforeLines="0" w:line="579" w:lineRule="exact"/>
        <w:ind w:right="0" w:rightChars="0" w:firstLine="640" w:firstLineChars="20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四是参与示范街道建设。参加园岭街道备战残特奥会暨园岭街道打造全域无障碍示范街区启动仪式、创建无障碍示范街道研讨会，为该街道建言献策，助力无障碍示范街道的建设。</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beforeLines="0" w:line="579" w:lineRule="exact"/>
        <w:ind w:right="0" w:rightChars="0" w:firstLine="640" w:firstLineChars="20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五是通过专项服务促进督导。通过公开招标方式购买2024-2025年十五运会和残特奥会福田赛区城市品质提升暨创建全国无障碍建设示范城市无障碍督导宣导项目服务；策划出版全国首部《幸福城区 融合无碍一一深圳市福田区参与创建全国无障碍建设示范城市工作手册》口袋书，填补了相关领域空白，为无障碍社会监督员和市民提供通俗易懂无障碍环境建设便捷使用的工具书。</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beforeLines="0" w:line="579" w:lineRule="exact"/>
        <w:ind w:right="0" w:rightChars="0" w:firstLine="640" w:firstLineChars="20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六是积极与高科技地图公司合作，依托科技助残，采集并上传社区无障碍设施点位数据800余个，绘制无障碍设施点位分布图32张。</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beforeLines="0" w:line="579" w:lineRule="exact"/>
        <w:ind w:right="0" w:rightChars="0" w:firstLine="640" w:firstLineChars="20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七是考察调研辖区无障碍citywalk路线5条，出版无障碍citywalk城市漫游行动指南，推动无障碍文旅产业发展，2025年已开展无障碍citywalk城市漫游主题活动1场，活动受到人民网等主流媒体宣传，促进无障碍城市建设水平。</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beforeLines="0" w:line="579" w:lineRule="exact"/>
        <w:ind w:leftChars="0" w:right="0" w:rightChars="0" w:firstLine="697" w:firstLineChars="218"/>
        <w:jc w:val="both"/>
        <w:textAlignment w:val="auto"/>
        <w:outlineLvl w:val="9"/>
        <w:rPr>
          <w:rFonts w:hint="eastAsia" w:ascii="楷体" w:hAnsi="楷体" w:eastAsia="楷体" w:cs="楷体"/>
          <w:kern w:val="2"/>
          <w:sz w:val="32"/>
          <w:szCs w:val="32"/>
          <w:lang w:val="en-US" w:eastAsia="zh-CN" w:bidi="ar-SA"/>
        </w:rPr>
      </w:pPr>
      <w:r>
        <w:rPr>
          <w:rFonts w:hint="eastAsia" w:ascii="黑体" w:hAnsi="黑体" w:eastAsia="黑体" w:cs="黑体"/>
          <w:kern w:val="2"/>
          <w:sz w:val="32"/>
          <w:szCs w:val="32"/>
          <w:lang w:val="en-US" w:eastAsia="zh-CN" w:bidi="ar-SA"/>
        </w:rPr>
        <w:t>五、公益诉讼与法律监督方面</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beforeLines="0" w:line="579" w:lineRule="exact"/>
        <w:ind w:right="0" w:rightChars="0" w:firstLine="640" w:firstLineChars="20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严格按照《中华人民共和国无障碍环境建设法》《无障碍环境建设条例》《深圳经济特区无障碍环境建设条例》《人民检察院公益诉讼办案规则》要求，认真开展无障碍环境建设公益诉讼工作。2024年至今受理无障碍环境建设公益诉讼案件线索6条，依职权立案6件，其中福田会展中心无障碍洗手间管理不当行政公益诉讼案等5件已办结，在办1件。依法向相关行政机关制发磋商函2份，检察建议2份，均已收到复函并整改到位。下一步，强化无障碍环境建设检府联动，共同落实《深圳市无障碍环境城市专项规划（2023-2035年）》，切实加强辖区无障碍建设法律监督；进一步发挥好“益心为公”志愿者、公益诉讼观察员以及区政数局“民意速办”平台力量，扩大案件线索来源，发现存在占用无障碍通道等妨碍无障碍环境建设的情形，及时依法开展公益诉讼磋商工作。</w:t>
      </w:r>
    </w:p>
    <w:p>
      <w:pPr>
        <w:keepNext w:val="0"/>
        <w:keepLines w:val="0"/>
        <w:pageBreakBefore w:val="0"/>
        <w:widowControl w:val="0"/>
        <w:suppressLineNumbers w:val="0"/>
        <w:kinsoku/>
        <w:wordWrap w:val="0"/>
        <w:overflowPunct/>
        <w:topLinePunct w:val="0"/>
        <w:autoSpaceDE/>
        <w:autoSpaceDN/>
        <w:bidi w:val="0"/>
        <w:adjustRightInd w:val="0"/>
        <w:snapToGrid w:val="0"/>
        <w:spacing w:beforeLines="0"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再次感谢您对于无障碍建设工作的关心与支持！</w:t>
      </w:r>
    </w:p>
    <w:p>
      <w:pPr>
        <w:keepNext w:val="0"/>
        <w:keepLines w:val="0"/>
        <w:pageBreakBefore w:val="0"/>
        <w:widowControl w:val="0"/>
        <w:kinsoku/>
        <w:wordWrap w:val="0"/>
        <w:overflowPunct/>
        <w:topLinePunct w:val="0"/>
        <w:autoSpaceDE/>
        <w:autoSpaceDN/>
        <w:bidi w:val="0"/>
        <w:adjustRightInd w:val="0"/>
        <w:snapToGrid w:val="0"/>
        <w:spacing w:beforeLines="0" w:beforeAutospacing="0" w:afterAutospacing="0" w:line="560" w:lineRule="exact"/>
        <w:ind w:right="0" w:rightChars="0"/>
        <w:jc w:val="left"/>
        <w:textAlignment w:val="auto"/>
        <w:outlineLvl w:val="9"/>
        <w:rPr>
          <w:rFonts w:hint="default" w:ascii="仿宋_GB2312" w:hAnsi="仿宋_GB2312" w:eastAsia="仿宋_GB2312" w:cs="仿宋_GB2312"/>
          <w:snapToGrid w:val="0"/>
          <w:kern w:val="2"/>
          <w:sz w:val="32"/>
          <w:szCs w:val="32"/>
          <w:lang w:val="en-US" w:eastAsia="zh-CN" w:bidi="ar-SA"/>
        </w:rPr>
      </w:pPr>
      <w:r>
        <w:rPr>
          <w:rFonts w:hint="eastAsia" w:ascii="仿宋_GB2312" w:hAnsi="仿宋_GB2312" w:eastAsia="仿宋_GB2312" w:cs="仿宋_GB2312"/>
          <w:snapToGrid w:val="0"/>
          <w:kern w:val="2"/>
          <w:sz w:val="32"/>
          <w:szCs w:val="32"/>
          <w:lang w:val="en-US" w:eastAsia="zh-CN" w:bidi="ar-SA"/>
        </w:rPr>
        <w:t xml:space="preserve"> </w:t>
      </w:r>
    </w:p>
    <w:p>
      <w:pPr>
        <w:keepNext w:val="0"/>
        <w:keepLines w:val="0"/>
        <w:pageBreakBefore w:val="0"/>
        <w:widowControl w:val="0"/>
        <w:kinsoku/>
        <w:wordWrap w:val="0"/>
        <w:overflowPunct/>
        <w:topLinePunct w:val="0"/>
        <w:autoSpaceDE/>
        <w:autoSpaceDN/>
        <w:bidi w:val="0"/>
        <w:adjustRightInd w:val="0"/>
        <w:snapToGrid w:val="0"/>
        <w:spacing w:beforeLines="0" w:beforeAutospacing="0" w:afterAutospacing="0" w:line="560" w:lineRule="exact"/>
        <w:ind w:right="0" w:rightChars="0" w:firstLine="4800" w:firstLineChars="1500"/>
        <w:jc w:val="right"/>
        <w:textAlignment w:val="auto"/>
        <w:outlineLvl w:val="9"/>
        <w:rPr>
          <w:rFonts w:hint="eastAsia" w:ascii="仿宋_GB2312" w:hAnsi="仿宋_GB2312" w:eastAsia="仿宋_GB2312" w:cs="仿宋_GB2312"/>
          <w:snapToGrid w:val="0"/>
          <w:kern w:val="2"/>
          <w:sz w:val="32"/>
          <w:szCs w:val="32"/>
          <w:lang w:val="en-US" w:eastAsia="zh-CN" w:bidi="ar-SA"/>
        </w:rPr>
      </w:pPr>
      <w:r>
        <w:rPr>
          <w:rFonts w:hint="eastAsia" w:ascii="仿宋_GB2312" w:hAnsi="仿宋_GB2312" w:eastAsia="仿宋_GB2312" w:cs="仿宋_GB2312"/>
          <w:snapToGrid w:val="0"/>
          <w:kern w:val="2"/>
          <w:sz w:val="32"/>
          <w:szCs w:val="32"/>
          <w:lang w:val="en-US" w:eastAsia="zh-CN" w:bidi="ar-SA"/>
        </w:rPr>
        <w:t>深圳市福田区住房和建设局</w:t>
      </w:r>
    </w:p>
    <w:p>
      <w:pPr>
        <w:keepNext w:val="0"/>
        <w:keepLines w:val="0"/>
        <w:pageBreakBefore w:val="0"/>
        <w:widowControl w:val="0"/>
        <w:kinsoku/>
        <w:wordWrap w:val="0"/>
        <w:overflowPunct/>
        <w:topLinePunct w:val="0"/>
        <w:autoSpaceDE/>
        <w:autoSpaceDN/>
        <w:bidi w:val="0"/>
        <w:adjustRightInd w:val="0"/>
        <w:snapToGrid w:val="0"/>
        <w:spacing w:beforeLines="0" w:beforeAutospacing="0" w:afterAutospacing="0" w:line="560" w:lineRule="exact"/>
        <w:ind w:left="0" w:leftChars="0" w:right="625" w:rightChars="0" w:firstLine="640" w:firstLineChars="200"/>
        <w:jc w:val="right"/>
        <w:textAlignment w:val="auto"/>
        <w:outlineLvl w:val="9"/>
        <w:rPr>
          <w:rFonts w:hint="eastAsia" w:ascii="仿宋_GB2312" w:hAnsi="仿宋_GB2312" w:eastAsia="仿宋_GB2312" w:cs="仿宋_GB2312"/>
          <w:snapToGrid w:val="0"/>
          <w:kern w:val="2"/>
          <w:sz w:val="32"/>
          <w:szCs w:val="32"/>
          <w:lang w:val="en-US" w:eastAsia="zh-CN" w:bidi="ar-SA"/>
        </w:rPr>
      </w:pPr>
      <w:r>
        <w:rPr>
          <w:rFonts w:hint="eastAsia" w:ascii="仿宋_GB2312" w:hAnsi="仿宋_GB2312" w:eastAsia="仿宋_GB2312" w:cs="仿宋_GB2312"/>
          <w:snapToGrid w:val="0"/>
          <w:kern w:val="2"/>
          <w:sz w:val="32"/>
          <w:szCs w:val="32"/>
          <w:lang w:val="en-US" w:eastAsia="zh-CN" w:bidi="ar-SA"/>
        </w:rPr>
        <w:t xml:space="preserve">                               2025年6月4日</w:t>
      </w:r>
    </w:p>
    <w:p>
      <w:pPr>
        <w:snapToGrid w:val="0"/>
        <w:spacing w:line="560" w:lineRule="exact"/>
        <w:jc w:val="left"/>
        <w:rPr>
          <w:rFonts w:hint="eastAsia" w:ascii="黑体" w:hAnsi="黑体" w:eastAsia="黑体" w:cs="黑体"/>
          <w:kern w:val="2"/>
          <w:sz w:val="32"/>
          <w:szCs w:val="32"/>
          <w:lang w:val="en-US" w:eastAsia="zh-CN" w:bidi="ar-SA"/>
        </w:rPr>
      </w:pPr>
    </w:p>
    <w:p>
      <w:pPr>
        <w:snapToGrid w:val="0"/>
        <w:spacing w:line="560" w:lineRule="exact"/>
        <w:jc w:val="left"/>
        <w:rPr>
          <w:rFonts w:hint="eastAsia" w:ascii="黑体" w:hAnsi="黑体" w:eastAsia="黑体" w:cs="黑体"/>
          <w:kern w:val="2"/>
          <w:sz w:val="32"/>
          <w:szCs w:val="32"/>
          <w:lang w:val="en-US" w:eastAsia="zh-CN" w:bidi="ar-SA"/>
        </w:rPr>
      </w:pPr>
    </w:p>
    <w:p>
      <w:pPr>
        <w:snapToGrid w:val="0"/>
        <w:spacing w:line="560" w:lineRule="exact"/>
        <w:jc w:val="left"/>
        <w:rPr>
          <w:rFonts w:hint="eastAsia" w:ascii="仿宋_GB2312" w:hAnsi="仿宋_GB2312" w:eastAsia="仿宋_GB2312" w:cs="仿宋_GB2312"/>
          <w:sz w:val="32"/>
          <w:szCs w:val="32"/>
        </w:rPr>
      </w:pPr>
      <w:bookmarkStart w:id="0" w:name="_GoBack"/>
      <w:bookmarkEnd w:id="0"/>
      <w:r>
        <w:rPr>
          <w:rFonts w:hint="eastAsia" w:ascii="黑体" w:hAnsi="黑体" w:eastAsia="黑体" w:cs="黑体"/>
          <w:kern w:val="2"/>
          <w:sz w:val="32"/>
          <w:szCs w:val="32"/>
          <w:lang w:val="en-US" w:eastAsia="zh-CN" w:bidi="ar-SA"/>
        </w:rPr>
        <w:t>公开方式：</w:t>
      </w:r>
      <w:r>
        <w:rPr>
          <w:rFonts w:hint="eastAsia" w:ascii="仿宋_GB2312" w:hAnsi="仿宋_GB2312" w:eastAsia="仿宋_GB2312" w:cs="仿宋_GB2312"/>
          <w:kern w:val="2"/>
          <w:sz w:val="32"/>
          <w:szCs w:val="32"/>
          <w:lang w:val="en-US" w:eastAsia="zh-CN" w:bidi="ar-SA"/>
        </w:rPr>
        <w:t>主动公开</w:t>
      </w:r>
    </w:p>
    <w:sectPr>
      <w:footerReference r:id="rId3" w:type="default"/>
      <w:pgSz w:w="11906" w:h="16838"/>
      <w:pgMar w:top="2098" w:right="1474" w:bottom="1984" w:left="1587" w:header="851" w:footer="1361" w:gutter="0"/>
      <w:pgNumType w:fmt="decimal" w:start="2"/>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Theme="minorEastAsia"/>
        <w:lang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kgka0MQIAAGE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&#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">
              <v:fill on="f" focussize="0,0"/>
              <v:stroke on="f" weight="0.5pt"/>
              <v:imagedata o:title=""/>
              <o:lock v:ext="edit" aspectratio="f"/>
              <v:textbox inset="0mm,0mm,0mm,0mm" style="mso-fit-shape-to-text:t;">
                <w:txbxContent>
                  <w:p>
                    <w:pPr>
                      <w:pStyle w:val="3"/>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C77EB473"/>
    <w:rsid w:val="1CE7E2B5"/>
    <w:rsid w:val="37FF9DA3"/>
    <w:rsid w:val="3F7BECAB"/>
    <w:rsid w:val="5F72F412"/>
    <w:rsid w:val="5F7E153B"/>
    <w:rsid w:val="73BDD80F"/>
    <w:rsid w:val="776F2389"/>
    <w:rsid w:val="79B7D6C2"/>
    <w:rsid w:val="7D7DC440"/>
    <w:rsid w:val="7FCFD974"/>
    <w:rsid w:val="7FF64AB9"/>
    <w:rsid w:val="7FFEA8E1"/>
    <w:rsid w:val="AF37A98B"/>
    <w:rsid w:val="C77EB473"/>
    <w:rsid w:val="DD6DA87E"/>
    <w:rsid w:val="EF7DFDA8"/>
    <w:rsid w:val="FABF363F"/>
    <w:rsid w:val="FFF9A1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next w:val="1"/>
    <w:qFormat/>
    <w:uiPriority w:val="0"/>
    <w:pPr>
      <w:widowControl w:val="0"/>
      <w:spacing w:line="360" w:lineRule="auto"/>
      <w:jc w:val="both"/>
    </w:pPr>
    <w:rPr>
      <w:rFonts w:ascii="Times New Roman" w:hAnsi="Times New Roman" w:eastAsia="宋体" w:cs="Times New Roman"/>
      <w:b/>
      <w:bCs/>
      <w:kern w:val="2"/>
      <w:sz w:val="24"/>
      <w:szCs w:val="22"/>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qFormat/>
    <w:uiPriority w:val="0"/>
    <w:pPr>
      <w:widowControl w:val="0"/>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heme="minorHAnsi" w:hAnsiTheme="minorHAnsi" w:eastAsiaTheme="minorEastAsia" w:cstheme="minorBidi"/>
      <w:kern w:val="2"/>
      <w:sz w:val="18"/>
      <w:szCs w:val="24"/>
      <w:lang w:val="en-US" w:eastAsia="zh-CN" w:bidi="ar-SA"/>
    </w:rPr>
  </w:style>
  <w:style w:type="paragraph" w:styleId="5">
    <w:name w:val="Body Text First Indent 2"/>
    <w:qFormat/>
    <w:uiPriority w:val="0"/>
    <w:pPr>
      <w:keepNext w:val="0"/>
      <w:keepLines w:val="0"/>
      <w:widowControl w:val="0"/>
      <w:suppressLineNumbers w:val="0"/>
      <w:spacing w:before="0" w:beforeAutospacing="0" w:after="120" w:afterLines="0" w:afterAutospacing="0"/>
      <w:ind w:left="420" w:leftChars="200" w:right="0" w:firstLine="420" w:firstLineChars="200"/>
      <w:jc w:val="both"/>
    </w:pPr>
    <w:rPr>
      <w:rFonts w:hint="default" w:ascii="Calibri" w:hAnsi="Calibri" w:eastAsia="宋体" w:cs="Times New Roman"/>
      <w:kern w:val="2"/>
      <w:sz w:val="21"/>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Office_11.8.2.11851_F1E327BC-269C-435d-A152-05C5408002CA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2025-06-05T18:00:00Z</dcterms:created>
  <dc:creator>钟琦</dc:creator>
  <cp:lastModifiedBy>任蓓</cp:lastModifiedBy>
  <dcterms:modified xsi:type="dcterms:W3CDTF">2025-12-29T15:43:25Z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2052-11.8.2.11851</vt:lpwstr>
  </property>
  <property fmtid="{D5CDD505-2E9C-101B-9397-08002B2CF9AE}" pid="3" name="ICV">
    <vt:lpwstr>CC4B7414D6E5792E2A4742683895DCB3</vt:lpwstr>
  </property>
</Properties>
</file>