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posOffset>9396095</wp:posOffset>
            </wp:positionV>
            <wp:extent cx="6248400" cy="904875"/>
            <wp:effectExtent l="0" t="0" r="0" b="9525"/>
            <wp:wrapNone/>
            <wp:docPr id="5" name="图片 4" descr="E:\G_Drive\QQFILE\住建局\【办公室】深圳市福田区住房和建设局便笺头（下划线）.jpg【办公室】深圳市福田区住房和建设局便笺头（下划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:\G_Drive\QQFILE\住建局\【办公室】深圳市福田区住房和建设局便笺头（下划线）.jpg【办公室】深圳市福田区住房和建设局便笺头（下划线）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709295" y="9756140"/>
                      <a:ext cx="6248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kern w:val="2"/>
          <w:sz w:val="32"/>
          <w:szCs w:val="32"/>
          <w:lang w:val="en-US" w:eastAsia="zh-CN" w:bidi="ar-SA"/>
        </w:rPr>
        <w:t>深福建函〔2025〕302号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0"/>
          <w:kern w:val="2"/>
          <w:sz w:val="44"/>
          <w:szCs w:val="44"/>
          <w:lang w:val="en-US" w:eastAsia="zh-CN" w:bidi="ar-SA"/>
        </w:rPr>
        <w:t>深圳市福田区住房和建设局对福田区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0"/>
          <w:kern w:val="2"/>
          <w:sz w:val="44"/>
          <w:szCs w:val="44"/>
          <w:lang w:val="en-US" w:eastAsia="zh-CN" w:bidi="ar-SA"/>
        </w:rPr>
        <w:t>政协六届五次会议第2025068号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0"/>
          <w:kern w:val="2"/>
          <w:sz w:val="44"/>
          <w:szCs w:val="44"/>
          <w:lang w:val="en-US" w:eastAsia="zh-CN" w:bidi="ar-SA"/>
        </w:rPr>
        <w:t>提案的答复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尊敬的邓学军委员：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深圳市福田区政协六届五次会议第2025068号《关于优化企业人才房管理的建言》已收悉。经认真研究，现将办理意见回复如下</w:t>
      </w:r>
      <w:r>
        <w:rPr>
          <w:rFonts w:hint="eastAsia" w:ascii="仿宋_GB2312" w:hAnsi="Times New Roman" w:eastAsia="仿宋_GB2312" w:cs="Times New Roman"/>
          <w:snapToGrid w:val="0"/>
          <w:color w:val="auto"/>
          <w:kern w:val="2"/>
          <w:sz w:val="32"/>
          <w:szCs w:val="32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kern w:val="2"/>
          <w:sz w:val="32"/>
          <w:szCs w:val="32"/>
          <w:lang w:val="en-US" w:eastAsia="zh-CN" w:bidi="ar-SA"/>
        </w:rPr>
        <w:t>一、关于辖区保障性住房情况汇报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highlight w:val="none"/>
          <w:lang w:val="en-GB" w:eastAsia="zh-CN" w:bidi="ar-SA"/>
        </w:rPr>
        <w:t>在保障性住房分配方面，福田区通过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创新手段，多渠道保障各类人才的住房需求，助力打造住有宜居民生幸福标杆，2024年共推出保障性住房6441套。其中面向福田区户籍在册轮候人提供公共租赁住房705套；面向福田区户籍公共租赁住房在册轮候家庭筹集社会存量4000套。面向高层次人才、港澳台及外籍人才提供保障性租赁住房80套；面向辖区重点产业人才、优质企业提供保障性租赁住房1656套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kern w:val="2"/>
          <w:sz w:val="32"/>
          <w:szCs w:val="32"/>
          <w:lang w:val="en-US" w:eastAsia="zh-CN" w:bidi="ar-SA"/>
        </w:rPr>
        <w:t>二、关于优化保障性租赁住房配租相关建议的答复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napToGrid w:val="0"/>
          <w:color w:val="auto"/>
          <w:kern w:val="2"/>
          <w:sz w:val="32"/>
          <w:szCs w:val="32"/>
          <w:lang w:val="en-US" w:eastAsia="zh-CN" w:bidi="ar-SA"/>
        </w:rPr>
        <w:t>（一）关于人才房入住资格范围优化。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为促进企业整体业务发展，提升市场竞争力，根据保障性租赁住房相关工作规定，我区已优化保障性租赁住房入住人资格。承租单位的全资母公司、分公司或全资子公司承租保障性租赁住房时，承租单位可以根据房源情况，结合单位需求，将职工安排至全资母公司、分公司或全资子公司所承租的住房中居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40"/>
          <w:highlight w:val="none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napToGrid w:val="0"/>
          <w:color w:val="auto"/>
          <w:kern w:val="2"/>
          <w:sz w:val="32"/>
          <w:szCs w:val="32"/>
          <w:lang w:val="en-US" w:eastAsia="zh-CN" w:bidi="ar-SA"/>
        </w:rPr>
        <w:t>（二）关于人才认定标准的优化。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按照保障性租赁住房相关工作规定，入住人才须符合人才引进迁户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40"/>
          <w:highlight w:val="none"/>
          <w:u w:val="none"/>
          <w:lang w:val="en-US" w:eastAsia="zh-CN" w:bidi="ar-SA"/>
        </w:rPr>
        <w:t>核准条件，未强制要求本科学历，具有全日制专科学历；中级专业技术资格,同时具有中专及以上学历；技师、高级技师职业资格或高级职业资格,同时职业资格证书符合深圳市紧缺工种(职业)目录；在世界技能大赛和国家级一、二类职业技能竞赛中获奖人员等均可对照相应条件申请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napToGrid w:val="0"/>
          <w:color w:val="auto"/>
          <w:kern w:val="2"/>
          <w:sz w:val="32"/>
          <w:szCs w:val="32"/>
          <w:lang w:val="en-US" w:eastAsia="zh-CN" w:bidi="ar-SA"/>
        </w:rPr>
        <w:t>（三）关于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跨区入住人才房的建议。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40"/>
          <w:highlight w:val="none"/>
          <w:u w:val="none"/>
          <w:lang w:val="en-US" w:eastAsia="zh-CN" w:bidi="ar-SA"/>
        </w:rPr>
        <w:t>近年来，福田区通过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kern w:val="2"/>
          <w:position w:val="0"/>
          <w:sz w:val="32"/>
          <w:szCs w:val="32"/>
          <w:lang w:val="en-US" w:eastAsia="zh-CN" w:bidi="ar-SA"/>
        </w:rPr>
        <w:t>盘活低效用地，聚焦近中期可实施项目，改造闲置厂房、商办楼宇及老旧小区，吸引社会资本增供保障性租赁住房。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"/>
          <w:position w:val="0"/>
          <w:sz w:val="32"/>
          <w:szCs w:val="32"/>
          <w:lang w:val="en-US" w:eastAsia="zh-CN" w:bidi="ar-SA"/>
        </w:rPr>
        <w:t>保障性住房分布在全市各区，如南山区、龙岗区、宝安区等，尽可能满足人才个性化住房需求。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（四）关于协调区域供给的建议。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40"/>
          <w:highlight w:val="none"/>
          <w:u w:val="none"/>
          <w:lang w:val="en-US" w:eastAsia="zh-CN" w:bidi="ar-SA"/>
        </w:rPr>
        <w:t>福田区地处中心城区，土地资源紧缺，区属房源主要面向辖区总部企业、高新技术企业、文化体育娱乐业企业、时装、服饰配品等时尚企业、金融企业等配租。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"/>
          <w:position w:val="0"/>
          <w:sz w:val="32"/>
          <w:szCs w:val="32"/>
          <w:lang w:val="en-US" w:eastAsia="zh-CN" w:bidi="ar-SA"/>
        </w:rPr>
        <w:t>下一步，我局将继续充分挖掘存量资源，通过规模化租赁、存量房源改造、社会主体出租规范化管理完成保障性住房供应任务。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再次感谢您对保障性住房工作的关心!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深圳市福田区住房和建设局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 xml:space="preserve">2025年10月10日   </w:t>
      </w: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（联系人：屈燕群，电话：82918172）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idowControl w:val="0"/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snapToGrid w:val="0"/>
        </w:rPr>
      </w:pPr>
      <w:r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32"/>
          <w:szCs w:val="32"/>
          <w:lang w:val="en-US" w:eastAsia="zh-CN" w:bidi="ar-SA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FFAFD"/>
    <w:rsid w:val="1EFFDB6F"/>
    <w:rsid w:val="7DDF3D5B"/>
    <w:rsid w:val="7E9FA9E1"/>
    <w:rsid w:val="7FDE60EC"/>
    <w:rsid w:val="7FEFFAFD"/>
    <w:rsid w:val="9FFB19E9"/>
    <w:rsid w:val="D8BB6DD8"/>
    <w:rsid w:val="E2D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2025-10-12T00:55:00Z</dcterms:created>
  <dc:creator>屈燕群</dc:creator>
  <cp:lastModifiedBy>任蓓</cp:lastModifiedBy>
  <dcterms:modified xsi:type="dcterms:W3CDTF">2025-12-29T16:42:28Z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A10057816A7BBD23A02DEA68C25D82C3</vt:lpwstr>
  </property>
</Properties>
</file>