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left"/>
        <w:rPr>
          <w:sz w:val="32"/>
          <w:szCs w:val="32"/>
        </w:rPr>
      </w:pPr>
    </w:p>
    <w:p>
      <w:pPr>
        <w:wordWrap w:val="0"/>
        <w:adjustRightInd w:val="0"/>
        <w:snapToGrid w:val="0"/>
        <w:spacing w:line="579" w:lineRule="exact"/>
        <w:jc w:val="left"/>
        <w:rPr>
          <w:rFonts w:hint="eastAsia"/>
          <w:sz w:val="32"/>
          <w:szCs w:val="32"/>
          <w:lang w:val="en-US" w:eastAsia="zh-CN"/>
        </w:rPr>
      </w:pPr>
      <w:r>
        <w:rPr>
          <w:rFonts w:hint="eastAsia" w:asciiTheme="minorHAnsi" w:eastAsiaTheme="minorEastAsia"/>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深福建函〔2025〕325号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left"/>
        <w:textAlignment w:val="auto"/>
        <w:outlineLvl w:val="9"/>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kern w:val="2"/>
          <w:sz w:val="44"/>
          <w:szCs w:val="44"/>
          <w:lang w:val="en-US" w:eastAsia="zh-CN" w:bidi="ar-SA"/>
        </w:rPr>
      </w:pPr>
      <w:r>
        <w:rPr>
          <w:rFonts w:hint="eastAsia" w:ascii="方正小标宋简体" w:hAnsi="方正小标宋简体" w:eastAsia="方正小标宋简体" w:cs="方正小标宋简体"/>
          <w:spacing w:val="0"/>
          <w:kern w:val="2"/>
          <w:sz w:val="44"/>
          <w:szCs w:val="44"/>
          <w:lang w:val="en-US" w:eastAsia="zh-CN" w:bidi="ar-SA"/>
        </w:rPr>
        <w:t>深圳市福田区住房和建设局对福田区</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kern w:val="2"/>
          <w:sz w:val="44"/>
          <w:szCs w:val="44"/>
          <w:lang w:val="en-US" w:eastAsia="zh-CN" w:bidi="ar-SA"/>
        </w:rPr>
      </w:pPr>
      <w:r>
        <w:rPr>
          <w:rFonts w:hint="eastAsia" w:ascii="方正小标宋简体" w:hAnsi="方正小标宋简体" w:eastAsia="方正小标宋简体" w:cs="方正小标宋简体"/>
          <w:spacing w:val="0"/>
          <w:kern w:val="2"/>
          <w:sz w:val="44"/>
          <w:szCs w:val="44"/>
          <w:lang w:val="en-US" w:eastAsia="zh-CN" w:bidi="ar-SA"/>
        </w:rPr>
        <w:t>政协六届五次会议第2025059号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kern w:val="2"/>
          <w:sz w:val="44"/>
          <w:szCs w:val="44"/>
          <w:lang w:val="en-US" w:eastAsia="zh-CN" w:bidi="ar-SA"/>
        </w:rPr>
      </w:pPr>
      <w:r>
        <w:rPr>
          <w:rFonts w:hint="eastAsia" w:ascii="方正小标宋简体" w:hAnsi="方正小标宋简体" w:eastAsia="方正小标宋简体" w:cs="方正小标宋简体"/>
          <w:spacing w:val="0"/>
          <w:kern w:val="2"/>
          <w:sz w:val="44"/>
          <w:szCs w:val="44"/>
          <w:lang w:val="en-US" w:eastAsia="zh-CN" w:bidi="ar-SA"/>
        </w:rPr>
        <w:t>提案的答复</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尊敬的张文华委员：</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kern w:val="2"/>
          <w:sz w:val="32"/>
          <w:szCs w:val="32"/>
          <w:lang w:val="en-US" w:eastAsia="zh-CN" w:bidi="ar-SA"/>
        </w:rPr>
      </w:pPr>
      <w:r>
        <w:rPr>
          <w:rFonts w:hint="eastAsia" w:ascii="仿宋_GB2312" w:hAnsi="仿宋_GB2312" w:eastAsia="仿宋_GB2312" w:cs="仿宋_GB2312"/>
          <w:kern w:val="2"/>
          <w:sz w:val="32"/>
          <w:szCs w:val="32"/>
          <w:lang w:val="en-US" w:eastAsia="zh-CN" w:bidi="ar-SA"/>
        </w:rPr>
        <w:t>深圳市福田区政协六届五次会议第2025059号《关于</w:t>
      </w:r>
      <w:r>
        <w:rPr>
          <w:rFonts w:hint="eastAsia" w:ascii="仿宋_GB2312" w:hAnsi="仿宋_GB2312" w:eastAsia="仿宋_GB2312" w:cs="仿宋_GB2312"/>
          <w:b w:val="0"/>
          <w:bCs w:val="0"/>
          <w:kern w:val="2"/>
          <w:sz w:val="32"/>
          <w:szCs w:val="32"/>
          <w:lang w:val="en-US" w:eastAsia="zh-CN" w:bidi="ar-SA"/>
        </w:rPr>
        <w:t>对福田区30年以上的老旧建筑进行全面评估体检的建议</w:t>
      </w:r>
      <w:r>
        <w:rPr>
          <w:rFonts w:hint="eastAsia" w:ascii="仿宋_GB2312" w:hAnsi="仿宋_GB2312" w:eastAsia="仿宋_GB2312" w:cs="仿宋_GB2312"/>
          <w:kern w:val="2"/>
          <w:sz w:val="32"/>
          <w:szCs w:val="32"/>
          <w:lang w:val="en-US" w:eastAsia="zh-CN" w:bidi="ar-SA"/>
        </w:rPr>
        <w:t>》已收悉。</w:t>
      </w:r>
      <w:r>
        <w:rPr>
          <w:rFonts w:hint="eastAsia" w:ascii="仿宋_GB2312" w:hAnsi="仿宋" w:eastAsia="仿宋_GB2312" w:cs="仿宋"/>
          <w:bCs/>
          <w:snapToGrid w:val="0"/>
          <w:kern w:val="2"/>
          <w:sz w:val="32"/>
          <w:szCs w:val="32"/>
          <w:lang w:val="en-US" w:eastAsia="zh-CN" w:bidi="ar-SA"/>
        </w:rPr>
        <w:t>我局高度赞同您关于福田区老旧建筑进行全面评估体检的建议</w:t>
      </w:r>
      <w:r>
        <w:rPr>
          <w:rFonts w:hint="eastAsia" w:ascii="仿宋_GB2312" w:hAnsi="仿宋_GB2312" w:eastAsia="仿宋_GB2312" w:cs="仿宋_GB2312"/>
          <w:snapToGrid w:val="0"/>
          <w:color w:val="auto"/>
          <w:kern w:val="0"/>
          <w:sz w:val="32"/>
          <w:szCs w:val="32"/>
          <w:shd w:val="clear" w:color="auto" w:fill="FFFFFF"/>
          <w:lang w:val="zh-CN" w:eastAsia="zh-CN" w:bidi="ar-SA"/>
        </w:rPr>
        <w:t>，</w:t>
      </w:r>
      <w:r>
        <w:rPr>
          <w:rFonts w:hint="eastAsia" w:ascii="仿宋_GB2312" w:hAnsi="仿宋" w:eastAsia="仿宋_GB2312" w:cs="仿宋"/>
          <w:bCs/>
          <w:snapToGrid w:val="0"/>
          <w:kern w:val="2"/>
          <w:sz w:val="32"/>
          <w:szCs w:val="32"/>
          <w:lang w:val="en-US" w:eastAsia="zh-CN" w:bidi="ar-SA"/>
        </w:rPr>
        <w:t>非常感谢您们对我们工作的关心和支持。经认真研究，现将办理意</w:t>
      </w:r>
      <w:bookmarkStart w:id="0" w:name="_GoBack"/>
      <w:bookmarkEnd w:id="0"/>
      <w:r>
        <w:rPr>
          <w:rFonts w:hint="eastAsia" w:ascii="仿宋_GB2312" w:hAnsi="仿宋" w:eastAsia="仿宋_GB2312" w:cs="仿宋"/>
          <w:bCs/>
          <w:snapToGrid w:val="0"/>
          <w:kern w:val="2"/>
          <w:sz w:val="32"/>
          <w:szCs w:val="32"/>
          <w:lang w:val="en-US" w:eastAsia="zh-CN" w:bidi="ar-SA"/>
        </w:rPr>
        <w:t>见答复如下：</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snapToGrid w:val="0"/>
          <w:color w:val="auto"/>
          <w:kern w:val="0"/>
          <w:sz w:val="32"/>
          <w:szCs w:val="32"/>
          <w:shd w:val="clear" w:color="auto" w:fill="FFFFFF"/>
          <w:lang w:val="en-US" w:eastAsia="zh-CN" w:bidi="ar-SA"/>
        </w:rPr>
        <w:t>一、关于</w:t>
      </w:r>
      <w:r>
        <w:rPr>
          <w:rFonts w:hint="eastAsia" w:ascii="黑体" w:hAnsi="黑体" w:eastAsia="黑体" w:cs="黑体"/>
          <w:b w:val="0"/>
          <w:bCs w:val="0"/>
          <w:kern w:val="2"/>
          <w:sz w:val="32"/>
          <w:szCs w:val="32"/>
          <w:lang w:val="en-US" w:eastAsia="zh-CN" w:bidi="ar-SA"/>
        </w:rPr>
        <w:t>成立专门工作组</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snapToGrid w:val="0"/>
          <w:color w:val="auto"/>
          <w:kern w:val="0"/>
          <w:sz w:val="32"/>
          <w:szCs w:val="32"/>
          <w:shd w:val="clear" w:color="auto" w:fill="FFFFFF"/>
          <w:lang w:val="en-US" w:eastAsia="zh-CN" w:bidi="ar-SA"/>
        </w:rPr>
      </w:pPr>
      <w:r>
        <w:rPr>
          <w:rFonts w:hint="eastAsia" w:ascii="仿宋_GB2312" w:hAnsi="仿宋_GB2312" w:eastAsia="仿宋_GB2312" w:cs="仿宋_GB2312"/>
          <w:snapToGrid w:val="0"/>
          <w:color w:val="auto"/>
          <w:kern w:val="0"/>
          <w:sz w:val="32"/>
          <w:szCs w:val="32"/>
          <w:shd w:val="clear" w:color="auto" w:fill="FFFFFF"/>
          <w:lang w:val="en-US" w:eastAsia="zh-CN" w:bidi="ar-SA"/>
        </w:rPr>
        <w:t>按照上级部门关于城市体检的工作部署，我区已制定专项工作方案，成立工作领导小组。市区政府及住建部门负责从宏观把控方向提供组织保障，街道和社区组织负责具体实施，动员各方力量，了解社区实际情况和居民需求，第三方专业团队负责数据采集、分析诊断，汇总结果并编写报告，提供技术支撑和决策依据。物业服务企业、专业单位和机构、居民多方提供小区基本情况。同时，我局针对建筑安全还成立了专项工作组，一是区住房建设局已成立建安委办，并在辖区每个街道派驻2名专职技术人员，协助各街道开展房屋安全、幕墙安全、燃气安全等隐患排查整治工作；二是已通过政府购买服务方式，聘请2家检测鉴定机构对辖区房屋安全开展专业应急评估。三是委托两家技术单位联合开展2025年区级城市体检工作。</w:t>
      </w: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napToGrid w:val="0"/>
          <w:color w:val="auto"/>
          <w:kern w:val="0"/>
          <w:sz w:val="32"/>
          <w:szCs w:val="32"/>
          <w:shd w:val="clear" w:color="auto" w:fill="FFFFFF"/>
          <w:lang w:val="en-US" w:eastAsia="zh-CN" w:bidi="ar-SA"/>
        </w:rPr>
        <w:t xml:space="preserve">  </w:t>
      </w:r>
      <w:r>
        <w:rPr>
          <w:rFonts w:hint="eastAsia" w:ascii="黑体" w:hAnsi="黑体" w:eastAsia="黑体" w:cs="黑体"/>
          <w:b w:val="0"/>
          <w:bCs w:val="0"/>
          <w:snapToGrid w:val="0"/>
          <w:color w:val="auto"/>
          <w:kern w:val="0"/>
          <w:sz w:val="32"/>
          <w:szCs w:val="32"/>
          <w:shd w:val="clear" w:color="auto" w:fill="FFFFFF"/>
          <w:lang w:val="en-US" w:eastAsia="zh-CN" w:bidi="ar-SA"/>
        </w:rPr>
        <w:t xml:space="preserve">  二、关于</w:t>
      </w:r>
      <w:r>
        <w:rPr>
          <w:rFonts w:hint="eastAsia" w:ascii="黑体" w:hAnsi="黑体" w:eastAsia="黑体" w:cs="黑体"/>
          <w:b w:val="0"/>
          <w:bCs w:val="0"/>
          <w:kern w:val="2"/>
          <w:sz w:val="32"/>
          <w:szCs w:val="32"/>
          <w:lang w:val="en-US" w:eastAsia="zh-CN" w:bidi="ar-SA"/>
        </w:rPr>
        <w:t>收集建筑资料</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default" w:ascii="Times New Roman" w:hAnsi="Times New Roman" w:eastAsia="宋体" w:cs="Times New Roman"/>
          <w:kern w:val="2"/>
          <w:sz w:val="32"/>
          <w:szCs w:val="32"/>
          <w:lang w:val="en-US" w:eastAsia="zh-CN" w:bidi="ar-SA"/>
        </w:rPr>
      </w:pPr>
      <w:r>
        <w:rPr>
          <w:rFonts w:hint="eastAsia" w:ascii="仿宋_GB2312" w:hAnsi="仿宋_GB2312" w:eastAsia="仿宋_GB2312" w:cs="仿宋_GB2312"/>
          <w:snapToGrid w:val="0"/>
          <w:color w:val="auto"/>
          <w:kern w:val="0"/>
          <w:sz w:val="32"/>
          <w:szCs w:val="32"/>
          <w:shd w:val="clear" w:color="auto" w:fill="FFFFFF"/>
          <w:lang w:val="en-US" w:eastAsia="zh-CN" w:bidi="ar-SA"/>
        </w:rPr>
        <w:t>目前，依托深圳市房屋安全管理系统及福田区智慧住建管理平台，</w:t>
      </w:r>
      <w:r>
        <w:rPr>
          <w:rFonts w:hint="eastAsia" w:ascii="仿宋_GB2312" w:hAnsi="仿宋_GB2312" w:eastAsia="仿宋_GB2312" w:cs="仿宋_GB2312"/>
          <w:b w:val="0"/>
          <w:bCs w:val="0"/>
          <w:kern w:val="2"/>
          <w:sz w:val="32"/>
          <w:szCs w:val="32"/>
          <w:lang w:val="en-US" w:eastAsia="zh-CN" w:bidi="ar-SA"/>
        </w:rPr>
        <w:t>按</w:t>
      </w:r>
      <w:r>
        <w:rPr>
          <w:rFonts w:hint="eastAsia" w:ascii="仿宋_GB2312" w:hAnsi="仿宋_GB2312" w:eastAsia="仿宋_GB2312" w:cs="仿宋_GB2312"/>
          <w:snapToGrid w:val="0"/>
          <w:color w:val="auto"/>
          <w:kern w:val="0"/>
          <w:sz w:val="32"/>
          <w:szCs w:val="32"/>
          <w:shd w:val="clear" w:color="auto" w:fill="FFFFFF"/>
          <w:lang w:val="en-US" w:eastAsia="zh-CN" w:bidi="ar-SA"/>
        </w:rPr>
        <w:t>“一栋一档”的要求，已</w:t>
      </w:r>
      <w:r>
        <w:rPr>
          <w:rFonts w:hint="eastAsia" w:ascii="仿宋_GB2312" w:hAnsi="仿宋_GB2312" w:eastAsia="仿宋_GB2312" w:cs="仿宋_GB2312"/>
          <w:b w:val="0"/>
          <w:bCs w:val="0"/>
          <w:kern w:val="2"/>
          <w:sz w:val="32"/>
          <w:szCs w:val="32"/>
          <w:lang w:val="en-US" w:eastAsia="zh-CN" w:bidi="ar-SA"/>
        </w:rPr>
        <w:t>建立</w:t>
      </w:r>
      <w:r>
        <w:rPr>
          <w:rFonts w:hint="eastAsia" w:ascii="仿宋_GB2312" w:hAnsi="仿宋_GB2312" w:eastAsia="仿宋_GB2312" w:cs="仿宋_GB2312"/>
          <w:snapToGrid w:val="0"/>
          <w:color w:val="auto"/>
          <w:kern w:val="0"/>
          <w:sz w:val="32"/>
          <w:szCs w:val="32"/>
          <w:shd w:val="clear" w:color="auto" w:fill="FFFFFF"/>
          <w:lang w:val="en-US" w:eastAsia="zh-CN" w:bidi="ar-SA"/>
        </w:rPr>
        <w:t>辖区内约1.59万栋既有房屋</w:t>
      </w:r>
      <w:r>
        <w:rPr>
          <w:rFonts w:hint="eastAsia" w:ascii="仿宋_GB2312" w:hAnsi="仿宋_GB2312" w:eastAsia="仿宋_GB2312" w:cs="仿宋_GB2312"/>
          <w:b w:val="0"/>
          <w:bCs w:val="0"/>
          <w:kern w:val="2"/>
          <w:sz w:val="32"/>
          <w:szCs w:val="32"/>
          <w:lang w:val="en-US" w:eastAsia="zh-CN" w:bidi="ar-SA"/>
        </w:rPr>
        <w:t>电子档案</w:t>
      </w:r>
      <w:r>
        <w:rPr>
          <w:rFonts w:hint="eastAsia" w:ascii="仿宋_GB2312" w:hAnsi="仿宋_GB2312" w:eastAsia="仿宋_GB2312" w:cs="仿宋_GB2312"/>
          <w:snapToGrid w:val="0"/>
          <w:color w:val="auto"/>
          <w:kern w:val="0"/>
          <w:sz w:val="32"/>
          <w:szCs w:val="32"/>
          <w:shd w:val="clear" w:color="auto" w:fill="FFFFFF"/>
          <w:lang w:val="en-US" w:eastAsia="zh-CN" w:bidi="ar-SA"/>
        </w:rPr>
        <w:t>，登记信息包含房屋建设年代、层数、建筑高度、房屋产权人或安全责任人、排查及检测鉴定报告等信息</w:t>
      </w:r>
      <w:r>
        <w:rPr>
          <w:rFonts w:hint="eastAsia" w:ascii="仿宋_GB2312" w:hAnsi="仿宋_GB2312" w:eastAsia="仿宋_GB2312" w:cs="仿宋_GB2312"/>
          <w:b w:val="0"/>
          <w:bCs w:val="0"/>
          <w:kern w:val="2"/>
          <w:sz w:val="32"/>
          <w:szCs w:val="32"/>
          <w:lang w:val="en-US" w:eastAsia="zh-CN" w:bidi="ar-SA"/>
        </w:rPr>
        <w:t>；在深圳市城建档案馆，已收纳大部分建筑的设计图纸、施工记录等相关材料。因数据安全壁垒等问题，暂未实现平台对接，但可按需要随时前往查阅。下一步，我局将</w:t>
      </w:r>
      <w:r>
        <w:rPr>
          <w:rFonts w:hint="eastAsia" w:ascii="仿宋_GB2312" w:hAnsi="仿宋_GB2312" w:eastAsia="仿宋_GB2312" w:cs="仿宋_GB2312"/>
          <w:snapToGrid w:val="0"/>
          <w:color w:val="auto"/>
          <w:kern w:val="0"/>
          <w:sz w:val="32"/>
          <w:szCs w:val="32"/>
          <w:shd w:val="clear" w:color="auto" w:fill="FFFFFF"/>
          <w:lang w:val="en-US" w:eastAsia="zh-CN" w:bidi="ar-SA"/>
        </w:rPr>
        <w:t>结合现有档案资源，对资料缺失的建筑，通过现场查勘、入户调查等方式补全信息，并建立动态更新机制。</w:t>
      </w:r>
    </w:p>
    <w:p>
      <w:pPr>
        <w:widowControl w:val="0"/>
        <w:wordWrap w:val="0"/>
        <w:overflowPunct/>
        <w:topLinePunct w:val="0"/>
        <w:autoSpaceDE/>
        <w:autoSpaceDN/>
        <w:adjustRightInd w:val="0"/>
        <w:snapToGrid w:val="0"/>
        <w:spacing w:line="579" w:lineRule="exact"/>
        <w:ind w:firstLine="642" w:firstLineChars="200"/>
        <w:jc w:val="both"/>
        <w:textAlignment w:val="auto"/>
        <w:rPr>
          <w:rFonts w:hint="eastAsia" w:ascii="仿宋_GB2312" w:hAnsi="仿宋_GB2312" w:eastAsia="仿宋_GB2312" w:cs="仿宋_GB2312"/>
          <w:snapToGrid w:val="0"/>
          <w:color w:val="auto"/>
          <w:kern w:val="0"/>
          <w:sz w:val="32"/>
          <w:szCs w:val="32"/>
          <w:shd w:val="clear" w:color="auto" w:fill="FFFFFF"/>
          <w:lang w:val="en-US" w:eastAsia="zh-CN" w:bidi="ar-SA"/>
        </w:rPr>
      </w:pPr>
      <w:r>
        <w:rPr>
          <w:rFonts w:hint="eastAsia" w:ascii="黑体" w:hAnsi="黑体" w:eastAsia="黑体" w:cs="黑体"/>
          <w:b/>
          <w:snapToGrid w:val="0"/>
          <w:color w:val="auto"/>
          <w:kern w:val="0"/>
          <w:sz w:val="32"/>
          <w:szCs w:val="32"/>
          <w:shd w:val="clear" w:color="auto" w:fill="FFFFFF"/>
          <w:lang w:val="en-US" w:eastAsia="zh-CN" w:bidi="ar-SA"/>
        </w:rPr>
        <w:t>三、</w:t>
      </w:r>
      <w:r>
        <w:rPr>
          <w:rFonts w:hint="eastAsia" w:ascii="黑体" w:hAnsi="黑体" w:eastAsia="黑体" w:cs="黑体"/>
          <w:b w:val="0"/>
          <w:bCs w:val="0"/>
          <w:kern w:val="2"/>
          <w:sz w:val="32"/>
          <w:szCs w:val="32"/>
          <w:lang w:val="en-US" w:eastAsia="zh-CN" w:bidi="ar-SA"/>
        </w:rPr>
        <w:t>关于制定评估标准和计划</w:t>
      </w:r>
    </w:p>
    <w:p>
      <w:pPr>
        <w:pStyle w:val="2"/>
        <w:widowControl w:val="0"/>
        <w:kinsoku/>
        <w:wordWrap w:val="0"/>
        <w:overflowPunct/>
        <w:topLinePunct/>
        <w:autoSpaceDE w:val="0"/>
        <w:autoSpaceDN w:val="0"/>
        <w:adjustRightInd w:val="0"/>
        <w:snapToGrid w:val="0"/>
        <w:spacing w:line="579" w:lineRule="exact"/>
        <w:ind w:firstLine="640" w:firstLineChars="200"/>
        <w:jc w:val="both"/>
        <w:textAlignment w:val="top"/>
        <w:rPr>
          <w:rFonts w:hint="eastAsia" w:ascii="仿宋_GB2312" w:hAnsi="仿宋_GB2312" w:eastAsia="仿宋_GB2312" w:cs="仿宋_GB2312"/>
          <w:snapToGrid w:val="0"/>
          <w:color w:val="auto"/>
          <w:kern w:val="0"/>
          <w:sz w:val="32"/>
          <w:szCs w:val="32"/>
          <w:shd w:val="clear" w:color="auto" w:fill="FFFFFF"/>
          <w:lang w:val="en-US" w:eastAsia="zh-CN" w:bidi="ar-SA"/>
        </w:rPr>
      </w:pPr>
      <w:r>
        <w:rPr>
          <w:rFonts w:hint="eastAsia" w:ascii="仿宋_GB2312" w:hAnsi="仿宋_GB2312" w:eastAsia="仿宋_GB2312" w:cs="仿宋_GB2312"/>
          <w:snapToGrid w:val="0"/>
          <w:color w:val="auto"/>
          <w:kern w:val="0"/>
          <w:sz w:val="32"/>
          <w:szCs w:val="32"/>
          <w:shd w:val="clear" w:color="auto" w:fill="FFFFFF"/>
          <w:lang w:val="en-US" w:eastAsia="zh-CN" w:bidi="ar-SA"/>
        </w:rPr>
        <w:t>根据《2025年深圳市城市体检工作方案》，结合福田区实际，区住房建设局已委托专业技术单位，以市级体检指标为基础，制定辖区城市体检工作计划。2025年区级城市体检分为街区、社区、住房三个维度体检和城中村专项体检。街区维度共14项指标，包含功能完善8项、整洁有序1项、特色活力5项，较2024年体检指标，在功能完善方面增加城市林荫路覆盖率、窨井盖缺失（移位、损坏）数量、既有道路无障碍改造达标率、既有公共交通设施无障碍改造达标率4项指标，在特色活力维度增加未实施改造的老旧小区建筑面积、临街沿路店面闲置率2项指标；社区维度共19项指标，包含设施完善14项、环境宜居3项、管理健全2项，较2024年体检指标，在设施完善维度增加婴幼儿照护服务设施托位实际使用率、新增社区公园（口袋公园）数量2项指标；住房维度共12项指标，包括安全耐久7项、功能完备3项、绿色智能2项，较2024年体检指标，在安全耐久维度增加未完成整治的C级或D级危险房屋及隐患房屋数量、楼道智能烟感报警覆盖率指标；城中村专项体检分为六个维度37项指标，包含安全隐患排查16项、服务设施完善7项、空间品质提升9项、历史风貌2项、物业管理1项、产业经济2项，较2024年体检指标，在安全隐患排查维度增加防火间距达标率、消防车通行达标率2项指标，在空间品质提升增加公共休闲空间服务半径覆盖率、边角废弃地数量、违规搭建数量、公共区域卫生死角数量、建筑立面待整治的临街住宅数量、三线凌乱问题点数量共6项指标。</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黑体" w:hAnsi="黑体" w:eastAsia="黑体" w:cs="黑体"/>
          <w:b w:val="0"/>
          <w:bCs/>
          <w:kern w:val="2"/>
          <w:sz w:val="32"/>
          <w:szCs w:val="32"/>
          <w:lang w:val="en-US" w:eastAsia="zh-CN" w:bidi="ar-SA"/>
        </w:rPr>
      </w:pPr>
      <w:r>
        <w:rPr>
          <w:rFonts w:hint="eastAsia" w:ascii="黑体" w:hAnsi="黑体" w:eastAsia="黑体" w:cs="黑体"/>
          <w:b w:val="0"/>
          <w:bCs/>
          <w:snapToGrid w:val="0"/>
          <w:color w:val="auto"/>
          <w:kern w:val="0"/>
          <w:sz w:val="32"/>
          <w:szCs w:val="32"/>
          <w:shd w:val="clear" w:color="auto" w:fill="FFFFFF"/>
          <w:lang w:val="en-US" w:eastAsia="zh-CN" w:bidi="ar-SA"/>
        </w:rPr>
        <w:t>四、关于</w:t>
      </w:r>
      <w:r>
        <w:rPr>
          <w:rFonts w:hint="eastAsia" w:ascii="黑体" w:hAnsi="黑体" w:eastAsia="黑体" w:cs="黑体"/>
          <w:b w:val="0"/>
          <w:bCs/>
          <w:kern w:val="2"/>
          <w:sz w:val="32"/>
          <w:szCs w:val="32"/>
          <w:lang w:val="en-US" w:eastAsia="zh-CN" w:bidi="ar-SA"/>
        </w:rPr>
        <w:t>开展现场评估</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2" w:firstLineChars="200"/>
        <w:jc w:val="both"/>
        <w:textAlignment w:val="auto"/>
        <w:rPr>
          <w:rFonts w:hint="eastAsia" w:ascii="Times New Roman" w:hAnsi="Times New Roman" w:eastAsia="宋体" w:cs="Times New Roman"/>
          <w:kern w:val="2"/>
          <w:sz w:val="32"/>
          <w:szCs w:val="32"/>
          <w:lang w:val="en-US" w:eastAsia="zh-CN" w:bidi="ar-SA"/>
        </w:rPr>
      </w:pPr>
      <w:r>
        <w:rPr>
          <w:rFonts w:hint="eastAsia" w:ascii="仿宋_GB2312" w:hAnsi="仿宋_GB2312" w:eastAsia="仿宋_GB2312" w:cs="仿宋_GB2312"/>
          <w:b/>
          <w:bCs/>
          <w:snapToGrid w:val="0"/>
          <w:color w:val="auto"/>
          <w:kern w:val="0"/>
          <w:sz w:val="32"/>
          <w:szCs w:val="32"/>
          <w:shd w:val="clear" w:color="auto" w:fill="FFFFFF"/>
          <w:lang w:val="en-US" w:eastAsia="zh-CN" w:bidi="ar-SA"/>
        </w:rPr>
        <w:t>一是</w:t>
      </w:r>
      <w:r>
        <w:rPr>
          <w:rFonts w:hint="eastAsia" w:ascii="仿宋_GB2312" w:hAnsi="仿宋_GB2312" w:eastAsia="仿宋_GB2312" w:cs="仿宋_GB2312"/>
          <w:snapToGrid w:val="0"/>
          <w:color w:val="auto"/>
          <w:kern w:val="0"/>
          <w:sz w:val="32"/>
          <w:szCs w:val="32"/>
          <w:shd w:val="clear" w:color="auto" w:fill="FFFFFF"/>
          <w:lang w:val="en-US" w:eastAsia="zh-CN" w:bidi="ar-SA"/>
        </w:rPr>
        <w:t>本年度我局已组织专业团队对梅林街道、园岭街道和福保街道以及上沙村开展体检工作。3个参检街道共涉及25个社区1423栋住房，参检城中村涉及住房855栋。体检指标数据通过人工现场调研结合政府部门数据填报进行采集，经过数据整理、分析，已形成《2025年福田区城市体检报告》、《2024年福田区城市体检成果应用专题报告》。</w:t>
      </w:r>
      <w:r>
        <w:rPr>
          <w:rFonts w:hint="eastAsia" w:ascii="仿宋_GB2312" w:hAnsi="仿宋_GB2312" w:eastAsia="仿宋_GB2312" w:cs="仿宋_GB2312"/>
          <w:b/>
          <w:bCs/>
          <w:snapToGrid w:val="0"/>
          <w:color w:val="auto"/>
          <w:kern w:val="0"/>
          <w:sz w:val="32"/>
          <w:szCs w:val="32"/>
          <w:shd w:val="clear" w:color="auto" w:fill="FFFFFF"/>
          <w:lang w:val="en-US" w:eastAsia="zh-CN" w:bidi="ar-SA"/>
        </w:rPr>
        <w:t>二是</w:t>
      </w:r>
      <w:r>
        <w:rPr>
          <w:rFonts w:hint="eastAsia" w:ascii="仿宋_GB2312" w:hAnsi="仿宋_GB2312" w:eastAsia="仿宋_GB2312" w:cs="仿宋_GB2312"/>
          <w:snapToGrid w:val="0"/>
          <w:color w:val="auto"/>
          <w:kern w:val="0"/>
          <w:sz w:val="32"/>
          <w:szCs w:val="32"/>
          <w:shd w:val="clear" w:color="auto" w:fill="FFFFFF"/>
          <w:lang w:val="en-US" w:eastAsia="zh-CN" w:bidi="ar-SA"/>
        </w:rPr>
        <w:t>2022年以来，由区住房建设局统筹、各街道办委托专业机构，对全区约1.59万栋既有建筑（含老旧建筑）的房屋安全现场逐一开展排查，明确排查类别并提出专业处置建议。</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snapToGrid w:val="0"/>
          <w:color w:val="auto"/>
          <w:kern w:val="0"/>
          <w:sz w:val="32"/>
          <w:szCs w:val="32"/>
          <w:shd w:val="clear" w:color="auto" w:fill="FFFFFF"/>
          <w:lang w:val="en-US" w:eastAsia="zh-CN" w:bidi="ar-SA"/>
        </w:rPr>
      </w:pPr>
      <w:r>
        <w:rPr>
          <w:rFonts w:hint="eastAsia" w:ascii="黑体" w:hAnsi="黑体" w:eastAsia="黑体" w:cs="黑体"/>
          <w:b w:val="0"/>
          <w:bCs/>
          <w:snapToGrid w:val="0"/>
          <w:color w:val="auto"/>
          <w:kern w:val="0"/>
          <w:sz w:val="32"/>
          <w:szCs w:val="32"/>
          <w:shd w:val="clear" w:color="auto" w:fill="FFFFFF"/>
          <w:lang w:val="en-US" w:eastAsia="zh-CN" w:bidi="ar-SA"/>
        </w:rPr>
        <w:t>五、关于</w:t>
      </w:r>
      <w:r>
        <w:rPr>
          <w:rFonts w:hint="eastAsia" w:ascii="黑体" w:hAnsi="黑体" w:eastAsia="黑体" w:cs="黑体"/>
          <w:b w:val="0"/>
          <w:bCs/>
          <w:kern w:val="2"/>
          <w:sz w:val="32"/>
          <w:szCs w:val="32"/>
          <w:lang w:val="en-US" w:eastAsia="zh-CN" w:bidi="ar-SA"/>
        </w:rPr>
        <w:t>公众参与与反馈</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Times New Roman" w:hAnsi="Times New Roman" w:eastAsia="宋体" w:cs="Times New Roman"/>
          <w:kern w:val="2"/>
          <w:sz w:val="32"/>
          <w:szCs w:val="32"/>
          <w:lang w:val="en-US" w:eastAsia="zh-CN" w:bidi="ar-SA"/>
        </w:rPr>
      </w:pPr>
      <w:r>
        <w:rPr>
          <w:rFonts w:hint="eastAsia" w:ascii="仿宋_GB2312" w:hAnsi="仿宋_GB2312" w:eastAsia="仿宋_GB2312" w:cs="仿宋_GB2312"/>
          <w:snapToGrid w:val="0"/>
          <w:color w:val="auto"/>
          <w:kern w:val="0"/>
          <w:sz w:val="32"/>
          <w:szCs w:val="32"/>
          <w:shd w:val="clear" w:color="auto" w:fill="FFFFFF"/>
          <w:lang w:val="en-US" w:eastAsia="zh-CN" w:bidi="ar-SA"/>
        </w:rPr>
        <w:t>我区积极发动公众参与城市体检。街道和社区组织负责具体实施，动员各方力量，了解社区实际情况和居民需求。物业服务企业、专业单位和机构、居民多方提供小区基本情况。社区参与调研，配合解决问题，提供统计数据和咨询服务，保障数据准确可靠。物业及居民反馈住房问题，填写问卷，提供基层真实信息。一是及时汇总并现场核查民意速办等渠道中群众对老旧建筑隐患信息，针对反馈意见，线下组织专业机构核处；二是对居民提出的老旧小区房屋安全、消防安全等高频问题，纳入老旧小区综合整治清单；三是根据自媒体反馈的房中房隐患，已在全区范围开展“房中房”隐患整治专项行动。</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黑体" w:hAnsi="黑体" w:eastAsia="黑体" w:cs="黑体"/>
          <w:b w:val="0"/>
          <w:bCs/>
          <w:kern w:val="2"/>
          <w:sz w:val="32"/>
          <w:szCs w:val="32"/>
          <w:lang w:val="en-US" w:eastAsia="zh-CN" w:bidi="ar-SA"/>
        </w:rPr>
      </w:pPr>
      <w:r>
        <w:rPr>
          <w:rFonts w:hint="eastAsia" w:ascii="黑体" w:hAnsi="黑体" w:eastAsia="黑体" w:cs="黑体"/>
          <w:b w:val="0"/>
          <w:bCs/>
          <w:snapToGrid w:val="0"/>
          <w:color w:val="auto"/>
          <w:kern w:val="0"/>
          <w:sz w:val="32"/>
          <w:szCs w:val="32"/>
          <w:shd w:val="clear" w:color="auto" w:fill="FFFFFF"/>
          <w:lang w:val="en-US" w:eastAsia="zh-CN" w:bidi="ar-SA"/>
        </w:rPr>
        <w:t>六、关于</w:t>
      </w:r>
      <w:r>
        <w:rPr>
          <w:rFonts w:hint="eastAsia" w:ascii="黑体" w:hAnsi="黑体" w:eastAsia="黑体" w:cs="黑体"/>
          <w:b w:val="0"/>
          <w:bCs/>
          <w:kern w:val="2"/>
          <w:sz w:val="32"/>
          <w:szCs w:val="32"/>
          <w:lang w:val="en-US" w:eastAsia="zh-CN" w:bidi="ar-SA"/>
        </w:rPr>
        <w:t>评估结果分析</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snapToGrid w:val="0"/>
          <w:color w:val="auto"/>
          <w:kern w:val="0"/>
          <w:sz w:val="32"/>
          <w:szCs w:val="32"/>
          <w:shd w:val="clear" w:color="auto" w:fill="FFFFFF"/>
          <w:lang w:val="en-US" w:eastAsia="zh-CN" w:bidi="ar-SA"/>
        </w:rPr>
      </w:pPr>
      <w:r>
        <w:rPr>
          <w:rFonts w:hint="eastAsia" w:ascii="仿宋_GB2312" w:hAnsi="仿宋_GB2312" w:eastAsia="仿宋_GB2312" w:cs="仿宋_GB2312"/>
          <w:snapToGrid w:val="0"/>
          <w:color w:val="auto"/>
          <w:kern w:val="0"/>
          <w:sz w:val="32"/>
          <w:szCs w:val="32"/>
          <w:shd w:val="clear" w:color="auto" w:fill="FFFFFF"/>
          <w:lang w:val="en-US" w:eastAsia="zh-CN" w:bidi="ar-SA"/>
        </w:rPr>
        <w:t>体检评估成果应用优先整改和落实房屋安全、燃气、供水供电等市政基础类问题，积极隐患整治、拉动社会参与落实公共配套完善提升类问题。</w:t>
      </w:r>
      <w:r>
        <w:rPr>
          <w:rFonts w:hint="eastAsia" w:ascii="仿宋_GB2312" w:hAnsi="仿宋_GB2312" w:eastAsia="仿宋_GB2312" w:cs="仿宋_GB2312"/>
          <w:b/>
          <w:bCs/>
          <w:snapToGrid w:val="0"/>
          <w:color w:val="auto"/>
          <w:kern w:val="0"/>
          <w:sz w:val="32"/>
          <w:szCs w:val="32"/>
          <w:shd w:val="clear" w:color="auto" w:fill="FFFFFF"/>
          <w:lang w:val="en-US" w:eastAsia="zh-CN" w:bidi="ar-SA"/>
        </w:rPr>
        <w:t>一是</w:t>
      </w:r>
      <w:r>
        <w:rPr>
          <w:rFonts w:hint="eastAsia" w:ascii="仿宋_GB2312" w:hAnsi="仿宋_GB2312" w:eastAsia="仿宋_GB2312" w:cs="仿宋_GB2312"/>
          <w:snapToGrid w:val="0"/>
          <w:color w:val="auto"/>
          <w:kern w:val="0"/>
          <w:sz w:val="32"/>
          <w:szCs w:val="32"/>
          <w:shd w:val="clear" w:color="auto" w:fill="FFFFFF"/>
          <w:lang w:val="en-US" w:eastAsia="zh-CN" w:bidi="ar-SA"/>
        </w:rPr>
        <w:t>与《福田区城市基础设施更新改造重点领域实施方案（2025-2027）》相结合，近几年体检出来存在问题需改造的老旧小区、公共空间、老旧厂区、城中村优先列入《福田区城市基础设施更新改造重点领域实施方案（2025-2027）》；</w:t>
      </w:r>
      <w:r>
        <w:rPr>
          <w:rFonts w:hint="eastAsia" w:ascii="仿宋_GB2312" w:hAnsi="仿宋_GB2312" w:eastAsia="仿宋_GB2312" w:cs="仿宋_GB2312"/>
          <w:b/>
          <w:bCs/>
          <w:snapToGrid w:val="0"/>
          <w:color w:val="auto"/>
          <w:kern w:val="0"/>
          <w:sz w:val="32"/>
          <w:szCs w:val="32"/>
          <w:shd w:val="clear" w:color="auto" w:fill="FFFFFF"/>
          <w:lang w:val="en-US" w:eastAsia="zh-CN" w:bidi="ar-SA"/>
        </w:rPr>
        <w:t>二是</w:t>
      </w:r>
      <w:r>
        <w:rPr>
          <w:rFonts w:hint="eastAsia" w:ascii="仿宋_GB2312" w:hAnsi="仿宋_GB2312" w:eastAsia="仿宋_GB2312" w:cs="仿宋_GB2312"/>
          <w:snapToGrid w:val="0"/>
          <w:color w:val="auto"/>
          <w:kern w:val="0"/>
          <w:sz w:val="32"/>
          <w:szCs w:val="32"/>
          <w:shd w:val="clear" w:color="auto" w:fill="FFFFFF"/>
          <w:lang w:val="en-US" w:eastAsia="zh-CN" w:bidi="ar-SA"/>
        </w:rPr>
        <w:t>体检成果作为相关规划的编制参考数据资料；</w:t>
      </w:r>
      <w:r>
        <w:rPr>
          <w:rFonts w:hint="eastAsia" w:ascii="仿宋_GB2312" w:hAnsi="仿宋_GB2312" w:eastAsia="仿宋_GB2312" w:cs="仿宋_GB2312"/>
          <w:b/>
          <w:bCs/>
          <w:snapToGrid w:val="0"/>
          <w:color w:val="auto"/>
          <w:kern w:val="0"/>
          <w:sz w:val="32"/>
          <w:szCs w:val="32"/>
          <w:shd w:val="clear" w:color="auto" w:fill="FFFFFF"/>
          <w:lang w:val="en-US" w:eastAsia="zh-CN" w:bidi="ar-SA"/>
        </w:rPr>
        <w:t>三是</w:t>
      </w:r>
      <w:r>
        <w:rPr>
          <w:rFonts w:hint="eastAsia" w:ascii="仿宋_GB2312" w:hAnsi="仿宋_GB2312" w:eastAsia="仿宋_GB2312" w:cs="仿宋_GB2312"/>
          <w:snapToGrid w:val="0"/>
          <w:color w:val="auto"/>
          <w:kern w:val="0"/>
          <w:sz w:val="32"/>
          <w:szCs w:val="32"/>
          <w:shd w:val="clear" w:color="auto" w:fill="FFFFFF"/>
          <w:lang w:val="en-US" w:eastAsia="zh-CN" w:bidi="ar-SA"/>
        </w:rPr>
        <w:t>对街区社区整治改造进行体检成果落实汇总。</w:t>
      </w:r>
      <w:r>
        <w:rPr>
          <w:rFonts w:hint="eastAsia" w:ascii="仿宋_GB2312" w:hAnsi="仿宋_GB2312" w:eastAsia="仿宋_GB2312" w:cs="仿宋_GB2312"/>
          <w:b/>
          <w:bCs/>
          <w:snapToGrid w:val="0"/>
          <w:color w:val="auto"/>
          <w:kern w:val="0"/>
          <w:sz w:val="32"/>
          <w:szCs w:val="32"/>
          <w:shd w:val="clear" w:color="auto" w:fill="FFFFFF"/>
          <w:lang w:val="en-US" w:eastAsia="zh-CN" w:bidi="ar-SA"/>
        </w:rPr>
        <w:t>四是</w:t>
      </w:r>
      <w:r>
        <w:rPr>
          <w:rFonts w:hint="eastAsia" w:ascii="仿宋_GB2312" w:hAnsi="仿宋_GB2312" w:eastAsia="仿宋_GB2312" w:cs="仿宋_GB2312"/>
          <w:snapToGrid w:val="0"/>
          <w:color w:val="auto"/>
          <w:kern w:val="0"/>
          <w:sz w:val="32"/>
          <w:szCs w:val="32"/>
          <w:shd w:val="clear" w:color="auto" w:fill="FFFFFF"/>
          <w:lang w:val="en-US" w:eastAsia="zh-CN" w:bidi="ar-SA"/>
        </w:rPr>
        <w:t>根据排查及检测鉴定结果并进行分类管理，按“一楼一档”建立隐患整治台账。评估报告同步推送至产权人、物业、社区及属地街道办，按照《深圳市房屋安全管理办法》明确各方责任，开展隐患整治。</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黑体" w:hAnsi="黑体" w:eastAsia="黑体" w:cs="黑体"/>
          <w:b w:val="0"/>
          <w:bCs/>
          <w:snapToGrid w:val="0"/>
          <w:color w:val="auto"/>
          <w:kern w:val="0"/>
          <w:sz w:val="32"/>
          <w:szCs w:val="32"/>
          <w:shd w:val="clear" w:color="auto" w:fill="FFFFFF"/>
          <w:lang w:val="en-US" w:eastAsia="zh-CN" w:bidi="ar-SA"/>
        </w:rPr>
      </w:pPr>
      <w:r>
        <w:rPr>
          <w:rFonts w:hint="eastAsia" w:ascii="黑体" w:hAnsi="黑体" w:eastAsia="黑体" w:cs="黑体"/>
          <w:b w:val="0"/>
          <w:bCs/>
          <w:snapToGrid w:val="0"/>
          <w:color w:val="auto"/>
          <w:kern w:val="0"/>
          <w:sz w:val="32"/>
          <w:szCs w:val="32"/>
          <w:shd w:val="clear" w:color="auto" w:fill="FFFFFF"/>
          <w:lang w:val="en-US" w:eastAsia="zh-CN" w:bidi="ar-SA"/>
        </w:rPr>
        <w:t>七、关于资金与政策支持</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2" w:firstLineChars="200"/>
        <w:jc w:val="both"/>
        <w:textAlignment w:val="auto"/>
        <w:rPr>
          <w:rFonts w:hint="eastAsia" w:ascii="仿宋_GB2312" w:hAnsi="仿宋_GB2312" w:eastAsia="仿宋_GB2312" w:cs="仿宋_GB2312"/>
          <w:snapToGrid w:val="0"/>
          <w:color w:val="auto"/>
          <w:kern w:val="0"/>
          <w:sz w:val="32"/>
          <w:szCs w:val="32"/>
          <w:shd w:val="clear" w:color="auto" w:fill="FFFFFF"/>
          <w:lang w:val="en-US" w:eastAsia="zh-CN" w:bidi="ar-SA"/>
        </w:rPr>
      </w:pPr>
      <w:r>
        <w:rPr>
          <w:rFonts w:hint="eastAsia" w:ascii="仿宋_GB2312" w:hAnsi="仿宋_GB2312" w:eastAsia="仿宋_GB2312" w:cs="仿宋_GB2312"/>
          <w:b/>
          <w:bCs/>
          <w:snapToGrid w:val="0"/>
          <w:color w:val="auto"/>
          <w:kern w:val="0"/>
          <w:sz w:val="32"/>
          <w:szCs w:val="32"/>
          <w:shd w:val="clear" w:color="auto" w:fill="FFFFFF"/>
          <w:lang w:val="en-US" w:eastAsia="zh-CN" w:bidi="ar-SA"/>
        </w:rPr>
        <w:t>一是</w:t>
      </w:r>
      <w:r>
        <w:rPr>
          <w:rFonts w:hint="eastAsia" w:ascii="仿宋_GB2312" w:hAnsi="仿宋_GB2312" w:eastAsia="仿宋_GB2312" w:cs="仿宋_GB2312"/>
          <w:snapToGrid w:val="0"/>
          <w:color w:val="auto"/>
          <w:kern w:val="0"/>
          <w:sz w:val="32"/>
          <w:szCs w:val="32"/>
          <w:shd w:val="clear" w:color="auto" w:fill="FFFFFF"/>
          <w:lang w:val="en-US" w:eastAsia="zh-CN" w:bidi="ar-SA"/>
        </w:rPr>
        <w:t>对于经排查需开展检测鉴定的自建房，已制定检测鉴定奖补方案；</w:t>
      </w:r>
      <w:r>
        <w:rPr>
          <w:rFonts w:hint="eastAsia" w:ascii="仿宋_GB2312" w:hAnsi="仿宋_GB2312" w:eastAsia="仿宋_GB2312" w:cs="仿宋_GB2312"/>
          <w:b/>
          <w:bCs/>
          <w:snapToGrid w:val="0"/>
          <w:color w:val="auto"/>
          <w:kern w:val="0"/>
          <w:sz w:val="32"/>
          <w:szCs w:val="32"/>
          <w:shd w:val="clear" w:color="auto" w:fill="FFFFFF"/>
          <w:lang w:val="en-US" w:eastAsia="zh-CN" w:bidi="ar-SA"/>
        </w:rPr>
        <w:t>二是</w:t>
      </w:r>
      <w:r>
        <w:rPr>
          <w:rFonts w:hint="eastAsia" w:ascii="仿宋_GB2312" w:hAnsi="仿宋_GB2312" w:eastAsia="仿宋_GB2312" w:cs="仿宋_GB2312"/>
          <w:snapToGrid w:val="0"/>
          <w:color w:val="auto"/>
          <w:kern w:val="0"/>
          <w:sz w:val="32"/>
          <w:szCs w:val="32"/>
          <w:shd w:val="clear" w:color="auto" w:fill="FFFFFF"/>
          <w:lang w:val="en-US" w:eastAsia="zh-CN" w:bidi="ar-SA"/>
        </w:rPr>
        <w:t>积极利用中央财政资金及地方专项债资金，对老旧小区开展综合整治，2025年成功向上争取1537.33万元中央财政补助资金和2555万元中央预算投资资金用于老旧小区综合整治；</w:t>
      </w:r>
      <w:r>
        <w:rPr>
          <w:rFonts w:hint="eastAsia" w:ascii="仿宋_GB2312" w:hAnsi="仿宋_GB2312" w:eastAsia="仿宋_GB2312" w:cs="仿宋_GB2312"/>
          <w:b/>
          <w:bCs/>
          <w:snapToGrid w:val="0"/>
          <w:color w:val="auto"/>
          <w:kern w:val="0"/>
          <w:sz w:val="32"/>
          <w:szCs w:val="32"/>
          <w:shd w:val="clear" w:color="auto" w:fill="FFFFFF"/>
          <w:lang w:val="en-US" w:eastAsia="zh-CN" w:bidi="ar-SA"/>
        </w:rPr>
        <w:t>三是</w:t>
      </w:r>
      <w:r>
        <w:rPr>
          <w:rFonts w:hint="eastAsia" w:ascii="仿宋_GB2312" w:hAnsi="仿宋_GB2312" w:eastAsia="仿宋_GB2312" w:cs="仿宋_GB2312"/>
          <w:snapToGrid w:val="0"/>
          <w:color w:val="auto"/>
          <w:kern w:val="0"/>
          <w:sz w:val="32"/>
          <w:szCs w:val="32"/>
          <w:shd w:val="clear" w:color="auto" w:fill="FFFFFF"/>
          <w:lang w:val="en-US" w:eastAsia="zh-CN" w:bidi="ar-SA"/>
        </w:rPr>
        <w:t>鼓励社会资本通过参与老旧小区、旧工业厂区综合整治。</w:t>
      </w:r>
    </w:p>
    <w:p>
      <w:pPr>
        <w:keepNext w:val="0"/>
        <w:keepLines w:val="0"/>
        <w:pageBreakBefore w:val="0"/>
        <w:widowControl w:val="0"/>
        <w:suppressLineNumbers w:val="0"/>
        <w:kinsoku/>
        <w:wordWrap w:val="0"/>
        <w:overflowPunct/>
        <w:topLinePunct w:val="0"/>
        <w:autoSpaceDE/>
        <w:autoSpaceDN/>
        <w:bidi w:val="0"/>
        <w:adjustRightInd w:val="0"/>
        <w:snapToGrid w:val="0"/>
        <w:spacing w:before="0" w:beforeAutospacing="0" w:after="0" w:afterAutospacing="0" w:line="579" w:lineRule="exact"/>
        <w:ind w:left="0" w:right="0" w:firstLine="640" w:firstLineChars="200"/>
        <w:jc w:val="both"/>
        <w:textAlignment w:val="auto"/>
        <w:rPr>
          <w:rFonts w:hint="eastAsia" w:ascii="黑体" w:hAnsi="黑体" w:eastAsia="黑体" w:cs="黑体"/>
          <w:b w:val="0"/>
          <w:bCs/>
          <w:snapToGrid w:val="0"/>
          <w:color w:val="auto"/>
          <w:kern w:val="0"/>
          <w:sz w:val="32"/>
          <w:szCs w:val="32"/>
          <w:shd w:val="clear" w:color="auto" w:fill="FFFFFF"/>
          <w:lang w:val="en-US" w:eastAsia="zh-CN" w:bidi="ar-SA"/>
        </w:rPr>
      </w:pPr>
      <w:r>
        <w:rPr>
          <w:rFonts w:hint="eastAsia" w:ascii="黑体" w:hAnsi="黑体" w:eastAsia="黑体" w:cs="黑体"/>
          <w:b w:val="0"/>
          <w:bCs/>
          <w:snapToGrid w:val="0"/>
          <w:color w:val="auto"/>
          <w:kern w:val="0"/>
          <w:sz w:val="32"/>
          <w:szCs w:val="32"/>
          <w:shd w:val="clear" w:color="auto" w:fill="FFFFFF"/>
          <w:lang w:val="en-US" w:eastAsia="zh-CN" w:bidi="ar-SA"/>
        </w:rPr>
        <w:t>八、关于实施改造与维修</w:t>
      </w:r>
    </w:p>
    <w:p>
      <w:pPr>
        <w:keepNext w:val="0"/>
        <w:keepLines w:val="0"/>
        <w:pageBreakBefore w:val="0"/>
        <w:widowControl w:val="0"/>
        <w:suppressLineNumbers w:val="0"/>
        <w:kinsoku/>
        <w:wordWrap w:val="0"/>
        <w:overflowPunct/>
        <w:topLinePunct w:val="0"/>
        <w:autoSpaceDE/>
        <w:autoSpaceDN/>
        <w:bidi w:val="0"/>
        <w:adjustRightInd w:val="0"/>
        <w:snapToGrid w:val="0"/>
        <w:spacing w:before="0" w:beforeAutospacing="0" w:after="0" w:afterAutospacing="0" w:line="579" w:lineRule="exact"/>
        <w:ind w:right="0" w:firstLine="640" w:firstLineChars="200"/>
        <w:jc w:val="both"/>
        <w:textAlignment w:val="auto"/>
        <w:rPr>
          <w:rFonts w:hint="eastAsia" w:ascii="仿宋_GB2312" w:hAnsi="仿宋_GB2312" w:eastAsia="仿宋_GB2312" w:cs="仿宋_GB2312"/>
          <w:snapToGrid w:val="0"/>
          <w:color w:val="auto"/>
          <w:kern w:val="0"/>
          <w:sz w:val="32"/>
          <w:szCs w:val="32"/>
          <w:shd w:val="clear" w:color="auto" w:fill="FFFFFF"/>
          <w:lang w:val="en-US" w:eastAsia="zh-CN" w:bidi="ar-SA"/>
        </w:rPr>
      </w:pPr>
      <w:r>
        <w:rPr>
          <w:rFonts w:hint="eastAsia" w:ascii="仿宋_GB2312" w:hAnsi="仿宋_GB2312" w:eastAsia="仿宋_GB2312" w:cs="仿宋_GB2312"/>
          <w:snapToGrid w:val="0"/>
          <w:color w:val="auto"/>
          <w:kern w:val="0"/>
          <w:sz w:val="32"/>
          <w:szCs w:val="32"/>
          <w:shd w:val="clear" w:color="auto" w:fill="FFFFFF"/>
          <w:lang w:val="en-US" w:eastAsia="zh-CN" w:bidi="ar-SA"/>
        </w:rPr>
        <w:t>一是对经排查为C3类及检测鉴定为C、D级危房，及时封控围挡，严格落实“人不进危房、危房不进人”要求，并推动危房加固或拆除等工作；二是对排查为C1及C2类的房屋，根据专业单位处置建议，及时开展隐患处置；三是对历史风貌建筑，坚持“修旧如旧”，活化利用文化空间；四是通过老旧小区综合整治工程，消除老旧建筑房屋安全、消防安全等问题。全区已统筹开展111个老旧小区改造，已完成78个，提速推进33个。</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黑体" w:hAnsi="黑体" w:eastAsia="黑体" w:cs="黑体"/>
          <w:b w:val="0"/>
          <w:bCs/>
          <w:snapToGrid w:val="0"/>
          <w:color w:val="auto"/>
          <w:kern w:val="0"/>
          <w:sz w:val="32"/>
          <w:szCs w:val="32"/>
          <w:shd w:val="clear" w:color="auto" w:fill="FFFFFF"/>
          <w:lang w:val="en-US" w:eastAsia="zh-CN" w:bidi="ar-SA"/>
        </w:rPr>
      </w:pPr>
      <w:r>
        <w:rPr>
          <w:rFonts w:hint="eastAsia" w:ascii="黑体" w:hAnsi="黑体" w:eastAsia="黑体" w:cs="黑体"/>
          <w:b w:val="0"/>
          <w:bCs/>
          <w:snapToGrid w:val="0"/>
          <w:color w:val="auto"/>
          <w:kern w:val="0"/>
          <w:sz w:val="32"/>
          <w:szCs w:val="32"/>
          <w:shd w:val="clear" w:color="auto" w:fill="FFFFFF"/>
          <w:lang w:val="en-US" w:eastAsia="zh-CN" w:bidi="ar-SA"/>
        </w:rPr>
        <w:t>九、关于建立监管机制</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default" w:ascii="仿宋_GB2312" w:hAnsi="仿宋_GB2312" w:eastAsia="仿宋_GB2312" w:cs="仿宋_GB2312"/>
          <w:snapToGrid w:val="0"/>
          <w:color w:val="auto"/>
          <w:kern w:val="0"/>
          <w:sz w:val="32"/>
          <w:szCs w:val="32"/>
          <w:shd w:val="clear" w:color="auto" w:fill="FFFFFF"/>
          <w:lang w:val="en-US" w:eastAsia="zh-CN" w:bidi="ar-SA"/>
        </w:rPr>
      </w:pPr>
      <w:r>
        <w:rPr>
          <w:rFonts w:hint="eastAsia" w:ascii="仿宋_GB2312" w:hAnsi="仿宋_GB2312" w:eastAsia="仿宋_GB2312" w:cs="仿宋_GB2312"/>
          <w:snapToGrid w:val="0"/>
          <w:color w:val="auto"/>
          <w:kern w:val="0"/>
          <w:sz w:val="32"/>
          <w:szCs w:val="32"/>
          <w:shd w:val="clear" w:color="auto" w:fill="FFFFFF"/>
          <w:lang w:val="en-US" w:eastAsia="zh-CN" w:bidi="ar-SA"/>
        </w:rPr>
        <w:t>结合福田区实际，已制定《</w:t>
      </w:r>
      <w:r>
        <w:rPr>
          <w:rFonts w:hint="eastAsia" w:ascii="仿宋_GB2312" w:hAnsi="仿宋_GB2312" w:eastAsia="仿宋_GB2312" w:cs="仿宋_GB2312"/>
          <w:kern w:val="2"/>
          <w:sz w:val="32"/>
          <w:szCs w:val="32"/>
          <w:lang w:val="en-US" w:eastAsia="zh-CN" w:bidi="ar-SA"/>
        </w:rPr>
        <w:t>深圳市福田区房屋安全管理实施细则</w:t>
      </w:r>
      <w:r>
        <w:rPr>
          <w:rFonts w:hint="eastAsia" w:ascii="仿宋_GB2312" w:hAnsi="仿宋_GB2312" w:eastAsia="仿宋_GB2312" w:cs="仿宋_GB2312"/>
          <w:snapToGrid w:val="0"/>
          <w:color w:val="auto"/>
          <w:kern w:val="0"/>
          <w:sz w:val="32"/>
          <w:szCs w:val="32"/>
          <w:shd w:val="clear" w:color="auto" w:fill="FFFFFF"/>
          <w:lang w:val="en-US" w:eastAsia="zh-CN" w:bidi="ar-SA"/>
        </w:rPr>
        <w:t>》等管理文件，</w:t>
      </w:r>
      <w:r>
        <w:rPr>
          <w:rFonts w:hint="eastAsia" w:ascii="仿宋_GB2312" w:hAnsi="仿宋_GB2312" w:eastAsia="仿宋_GB2312" w:cs="仿宋_GB2312"/>
          <w:snapToGrid w:val="0"/>
          <w:color w:val="auto"/>
          <w:kern w:val="0"/>
          <w:sz w:val="32"/>
          <w:szCs w:val="32"/>
          <w:shd w:val="clear" w:color="auto" w:fill="FFFFFF"/>
          <w:lang w:val="en-US" w:eastAsia="zh-Hans" w:bidi="ar-SA"/>
        </w:rPr>
        <w:t>建立</w:t>
      </w:r>
      <w:r>
        <w:rPr>
          <w:rFonts w:hint="eastAsia" w:ascii="仿宋_GB2312" w:hAnsi="仿宋_GB2312" w:eastAsia="仿宋_GB2312" w:cs="仿宋_GB2312"/>
          <w:snapToGrid w:val="0"/>
          <w:color w:val="auto"/>
          <w:kern w:val="0"/>
          <w:sz w:val="32"/>
          <w:szCs w:val="32"/>
          <w:shd w:val="clear" w:color="auto" w:fill="FFFFFF"/>
          <w:lang w:val="en-US" w:eastAsia="zh-CN" w:bidi="ar-SA"/>
        </w:rPr>
        <w:t>本区</w:t>
      </w:r>
      <w:r>
        <w:rPr>
          <w:rFonts w:hint="eastAsia" w:ascii="仿宋_GB2312" w:hAnsi="仿宋_GB2312" w:eastAsia="仿宋_GB2312" w:cs="仿宋_GB2312"/>
          <w:snapToGrid w:val="0"/>
          <w:color w:val="auto"/>
          <w:kern w:val="0"/>
          <w:sz w:val="32"/>
          <w:szCs w:val="32"/>
          <w:shd w:val="clear" w:color="auto" w:fill="FFFFFF"/>
          <w:lang w:val="en-US" w:eastAsia="zh-Hans" w:bidi="ar-SA"/>
        </w:rPr>
        <w:t>房屋安全管理长效机制，加强</w:t>
      </w:r>
      <w:r>
        <w:rPr>
          <w:rFonts w:hint="eastAsia" w:ascii="仿宋_GB2312" w:hAnsi="仿宋_GB2312" w:eastAsia="仿宋_GB2312" w:cs="仿宋_GB2312"/>
          <w:snapToGrid w:val="0"/>
          <w:color w:val="auto"/>
          <w:kern w:val="0"/>
          <w:sz w:val="32"/>
          <w:szCs w:val="32"/>
          <w:shd w:val="clear" w:color="auto" w:fill="FFFFFF"/>
          <w:lang w:val="en-US" w:eastAsia="zh-CN" w:bidi="ar-SA"/>
        </w:rPr>
        <w:t>房屋</w:t>
      </w:r>
      <w:r>
        <w:rPr>
          <w:rFonts w:hint="eastAsia" w:ascii="仿宋_GB2312" w:hAnsi="仿宋_GB2312" w:eastAsia="仿宋_GB2312" w:cs="仿宋_GB2312"/>
          <w:snapToGrid w:val="0"/>
          <w:color w:val="auto"/>
          <w:kern w:val="0"/>
          <w:sz w:val="32"/>
          <w:szCs w:val="32"/>
          <w:shd w:val="clear" w:color="auto" w:fill="FFFFFF"/>
          <w:lang w:val="en-US" w:eastAsia="zh-Hans" w:bidi="ar-SA"/>
        </w:rPr>
        <w:t>从</w:t>
      </w:r>
      <w:r>
        <w:rPr>
          <w:rFonts w:hint="eastAsia" w:ascii="仿宋_GB2312" w:hAnsi="仿宋_GB2312" w:eastAsia="仿宋_GB2312" w:cs="仿宋_GB2312"/>
          <w:snapToGrid w:val="0"/>
          <w:color w:val="auto"/>
          <w:kern w:val="0"/>
          <w:sz w:val="32"/>
          <w:szCs w:val="32"/>
          <w:shd w:val="clear" w:color="auto" w:fill="FFFFFF"/>
          <w:lang w:val="en-US" w:eastAsia="zh-CN" w:bidi="ar-SA"/>
        </w:rPr>
        <w:t>建成交付、使用维护、隐患治理到</w:t>
      </w:r>
      <w:r>
        <w:rPr>
          <w:rFonts w:hint="eastAsia" w:ascii="仿宋_GB2312" w:hAnsi="仿宋_GB2312" w:eastAsia="仿宋_GB2312" w:cs="仿宋_GB2312"/>
          <w:snapToGrid w:val="0"/>
          <w:color w:val="auto"/>
          <w:kern w:val="0"/>
          <w:sz w:val="32"/>
          <w:szCs w:val="32"/>
          <w:shd w:val="clear" w:color="auto" w:fill="FFFFFF"/>
          <w:lang w:val="en-US" w:eastAsia="zh-Hans" w:bidi="ar-SA"/>
        </w:rPr>
        <w:t>拆除“全寿命”周期的安全管理</w:t>
      </w:r>
      <w:r>
        <w:rPr>
          <w:rFonts w:hint="eastAsia" w:ascii="仿宋_GB2312" w:hAnsi="仿宋_GB2312" w:eastAsia="仿宋_GB2312" w:cs="仿宋_GB2312"/>
          <w:snapToGrid w:val="0"/>
          <w:color w:val="auto"/>
          <w:kern w:val="0"/>
          <w:sz w:val="32"/>
          <w:szCs w:val="32"/>
          <w:shd w:val="clear" w:color="auto" w:fill="FFFFFF"/>
          <w:lang w:val="en-US" w:eastAsia="zh-CN" w:bidi="ar-SA"/>
        </w:rPr>
        <w:t>，确保房屋安全，</w:t>
      </w:r>
      <w:r>
        <w:rPr>
          <w:rFonts w:hint="eastAsia" w:ascii="仿宋_GB2312" w:hAnsi="仿宋_GB2312" w:eastAsia="仿宋_GB2312" w:cs="仿宋_GB2312"/>
          <w:snapToGrid w:val="0"/>
          <w:color w:val="auto"/>
          <w:kern w:val="0"/>
          <w:sz w:val="32"/>
          <w:szCs w:val="32"/>
          <w:shd w:val="clear" w:color="auto" w:fill="FFFFFF"/>
          <w:lang w:val="en-US" w:eastAsia="zh-Hans" w:bidi="ar-SA"/>
        </w:rPr>
        <w:t>维护公共安全及</w:t>
      </w:r>
      <w:r>
        <w:rPr>
          <w:rFonts w:hint="eastAsia" w:ascii="仿宋_GB2312" w:hAnsi="仿宋_GB2312" w:eastAsia="仿宋_GB2312" w:cs="仿宋_GB2312"/>
          <w:snapToGrid w:val="0"/>
          <w:color w:val="auto"/>
          <w:kern w:val="0"/>
          <w:sz w:val="32"/>
          <w:szCs w:val="32"/>
          <w:shd w:val="clear" w:color="auto" w:fill="FFFFFF"/>
          <w:lang w:val="en-US" w:eastAsia="zh-CN" w:bidi="ar-SA"/>
        </w:rPr>
        <w:t>公共利益。</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再次感谢您对</w:t>
      </w:r>
      <w:r>
        <w:rPr>
          <w:rFonts w:hint="eastAsia" w:ascii="仿宋_GB2312" w:hAnsi="仿宋_GB2312" w:eastAsia="仿宋_GB2312" w:cs="仿宋_GB2312"/>
          <w:b w:val="0"/>
          <w:bCs w:val="0"/>
          <w:kern w:val="2"/>
          <w:sz w:val="32"/>
          <w:szCs w:val="32"/>
          <w:lang w:val="en-US" w:eastAsia="zh-CN" w:bidi="ar-SA"/>
        </w:rPr>
        <w:t>福田区30年以上的老旧建筑进行全面评估体检</w:t>
      </w:r>
      <w:r>
        <w:rPr>
          <w:rFonts w:hint="eastAsia" w:ascii="仿宋_GB2312" w:hAnsi="仿宋_GB2312" w:eastAsia="仿宋_GB2312" w:cs="仿宋_GB2312"/>
          <w:kern w:val="2"/>
          <w:sz w:val="32"/>
          <w:szCs w:val="32"/>
          <w:lang w:val="en-US" w:eastAsia="zh-CN" w:bidi="ar-SA"/>
        </w:rPr>
        <w:t>工作的关心!</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深圳市福田区住房和建设局</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2025年10月20日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仿宋_GB2312" w:hAnsi="仿宋_GB2312" w:eastAsia="仿宋_GB2312" w:cs="仿宋_GB2312"/>
          <w:kern w:val="2"/>
          <w:sz w:val="28"/>
          <w:szCs w:val="28"/>
          <w:lang w:val="en-GB"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Times New Roman" w:hAnsi="Times New Roman" w:eastAsia="宋体" w:cs="Times New Roman"/>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Times New Roman" w:hAnsi="Times New Roman" w:eastAsia="宋体" w:cs="Times New Roman"/>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Times New Roman" w:hAnsi="Times New Roman" w:eastAsia="宋体" w:cs="Times New Roman"/>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宋体" w:hAnsi="宋体" w:eastAsia="宋体" w:cs="Times New Roman"/>
          <w:kern w:val="2"/>
          <w:sz w:val="28"/>
          <w:szCs w:val="28"/>
          <w:lang w:val="en-GB"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pPr>
      <w:r>
        <w:rPr>
          <w:rFonts w:hint="eastAsia" w:ascii="黑体" w:hAnsi="黑体" w:eastAsia="黑体" w:cs="黑体"/>
          <w:b w:val="0"/>
          <w:bCs/>
          <w:snapToGrid w:val="0"/>
          <w:kern w:val="2"/>
          <w:sz w:val="28"/>
          <w:szCs w:val="28"/>
          <w:lang w:val="en-US" w:eastAsia="zh-CN" w:bidi="ar-SA"/>
        </w:rPr>
        <w:t>公开方式：</w:t>
      </w:r>
      <w:r>
        <w:rPr>
          <w:rFonts w:hint="eastAsia" w:ascii="仿宋_GB2312" w:hAnsi="仿宋_GB2312" w:eastAsia="仿宋_GB2312" w:cs="仿宋_GB2312"/>
          <w:b w:val="0"/>
          <w:bCs/>
          <w:snapToGrid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361"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ascii="宋体" w:hAnsi="宋体" w:eastAsia="宋体" w:cs="Times New Roman"/>
                              <w:sz w:val="28"/>
                              <w:lang w:eastAsia="zh-CN"/>
                            </w:rPr>
                          </w:pPr>
                          <w:r>
                            <w:rPr>
                              <w:rFonts w:hint="eastAsia" w:ascii="宋体" w:hAnsi="宋体" w:eastAsia="宋体" w:cs="Times New Roman"/>
                              <w:sz w:val="28"/>
                              <w:lang w:eastAsia="zh-CN"/>
                            </w:rPr>
                            <w:t>—</w:t>
                          </w:r>
                          <w:r>
                            <w:rPr>
                              <w:rFonts w:hint="eastAsia" w:ascii="宋体" w:hAnsi="宋体" w:eastAsia="宋体" w:cs="Times New Roman"/>
                              <w:sz w:val="24"/>
                              <w:lang w:eastAsia="zh-CN"/>
                            </w:rPr>
                            <w:t>　</w:t>
                          </w:r>
                          <w:r>
                            <w:rPr>
                              <w:rFonts w:hint="eastAsia" w:ascii="宋体" w:hAnsi="宋体" w:eastAsia="宋体" w:cs="Times New Roman"/>
                              <w:sz w:val="28"/>
                              <w:lang w:eastAsia="zh-CN"/>
                            </w:rPr>
                            <w:fldChar w:fldCharType="begin"/>
                          </w:r>
                          <w:r>
                            <w:rPr>
                              <w:rFonts w:hint="eastAsia" w:ascii="宋体" w:hAnsi="宋体" w:eastAsia="宋体" w:cs="Times New Roman"/>
                              <w:sz w:val="28"/>
                              <w:lang w:eastAsia="zh-CN"/>
                            </w:rPr>
                            <w:instrText xml:space="preserve"> PAGE  \* MERGEFORMAT </w:instrText>
                          </w:r>
                          <w:r>
                            <w:rPr>
                              <w:rFonts w:hint="eastAsia" w:ascii="宋体" w:hAnsi="宋体" w:eastAsia="宋体" w:cs="Times New Roman"/>
                              <w:sz w:val="28"/>
                              <w:lang w:eastAsia="zh-CN"/>
                            </w:rPr>
                            <w:fldChar w:fldCharType="separate"/>
                          </w:r>
                          <w:r>
                            <w:rPr>
                              <w:rFonts w:hint="eastAsia" w:ascii="宋体" w:hAnsi="宋体" w:eastAsia="宋体" w:cs="Times New Roman"/>
                              <w:sz w:val="28"/>
                              <w:lang w:eastAsia="zh-CN"/>
                            </w:rPr>
                            <w:t>- 1 -</w:t>
                          </w:r>
                          <w:r>
                            <w:rPr>
                              <w:rFonts w:hint="eastAsia" w:ascii="宋体" w:hAnsi="宋体" w:eastAsia="宋体" w:cs="Times New Roman"/>
                              <w:sz w:val="28"/>
                              <w:lang w:eastAsia="zh-CN"/>
                            </w:rPr>
                            <w:fldChar w:fldCharType="end"/>
                          </w:r>
                          <w:r>
                            <w:rPr>
                              <w:rFonts w:hint="eastAsia" w:ascii="宋体" w:hAnsi="宋体" w:eastAsia="宋体" w:cs="Times New Roman"/>
                              <w:sz w:val="24"/>
                              <w:lang w:eastAsia="zh-CN"/>
                            </w:rPr>
                            <w:t>　</w:t>
                          </w:r>
                          <w:r>
                            <w:rPr>
                              <w:rFonts w:hint="eastAsia" w:ascii="宋体" w:hAnsi="宋体" w:eastAsia="宋体" w:cs="Times New Roman"/>
                              <w:sz w:val="28"/>
                              <w:lang w:eastAsia="zh-CN"/>
                            </w:rPr>
                            <w:t>—</w:t>
                          </w:r>
                        </w:p>
                      </w:txbxContent>
                    </wps:txbx>
                    <wps:bodyPr vert="horz" wrap="none" lIns="203200" tIns="0" rIns="203200" bIns="0" anchor="t" anchorCtr="0" upright="0">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">
              <v:fill on="f" focussize="0,0"/>
              <v:stroke on="f"/>
              <v:imagedata o:title=""/>
              <o:lock v:ext="edit" aspectratio="f"/>
              <v:textbox inset="16pt,0mm,16pt,0mm" style="mso-fit-shape-to-text:t;">
                <w:txbxContent>
                  <w:p>
                    <w:pPr>
                      <w:snapToGrid w:val="0"/>
                      <w:rPr>
                        <w:rFonts w:hint="eastAsia" w:ascii="宋体" w:hAnsi="宋体" w:eastAsia="宋体" w:cs="Times New Roman"/>
                        <w:sz w:val="28"/>
                        <w:lang w:eastAsia="zh-CN"/>
                      </w:rPr>
                    </w:pPr>
                    <w:r>
                      <w:rPr>
                        <w:rFonts w:hint="eastAsia" w:ascii="宋体" w:hAnsi="宋体" w:eastAsia="宋体" w:cs="Times New Roman"/>
                        <w:sz w:val="28"/>
                        <w:lang w:eastAsia="zh-CN"/>
                      </w:rPr>
                      <w:t>—</w:t>
                    </w:r>
                    <w:r>
                      <w:rPr>
                        <w:rFonts w:hint="eastAsia" w:ascii="宋体" w:hAnsi="宋体" w:eastAsia="宋体" w:cs="Times New Roman"/>
                        <w:sz w:val="24"/>
                        <w:lang w:eastAsia="zh-CN"/>
                      </w:rPr>
                      <w:t>　</w:t>
                    </w:r>
                    <w:r>
                      <w:rPr>
                        <w:rFonts w:hint="eastAsia" w:ascii="宋体" w:hAnsi="宋体" w:eastAsia="宋体" w:cs="Times New Roman"/>
                        <w:sz w:val="28"/>
                        <w:lang w:eastAsia="zh-CN"/>
                      </w:rPr>
                      <w:fldChar w:fldCharType="begin"/>
                    </w:r>
                    <w:r>
                      <w:rPr>
                        <w:rFonts w:hint="eastAsia" w:ascii="宋体" w:hAnsi="宋体" w:eastAsia="宋体" w:cs="Times New Roman"/>
                        <w:sz w:val="28"/>
                        <w:lang w:eastAsia="zh-CN"/>
                      </w:rPr>
                      <w:instrText xml:space="preserve"> PAGE  \* MERGEFORMAT </w:instrText>
                    </w:r>
                    <w:r>
                      <w:rPr>
                        <w:rFonts w:hint="eastAsia" w:ascii="宋体" w:hAnsi="宋体" w:eastAsia="宋体" w:cs="Times New Roman"/>
                        <w:sz w:val="28"/>
                        <w:lang w:eastAsia="zh-CN"/>
                      </w:rPr>
                      <w:fldChar w:fldCharType="separate"/>
                    </w:r>
                    <w:r>
                      <w:rPr>
                        <w:rFonts w:hint="eastAsia" w:ascii="宋体" w:hAnsi="宋体" w:eastAsia="宋体" w:cs="Times New Roman"/>
                        <w:sz w:val="28"/>
                        <w:lang w:eastAsia="zh-CN"/>
                      </w:rPr>
                      <w:t>- 1 -</w:t>
                    </w:r>
                    <w:r>
                      <w:rPr>
                        <w:rFonts w:hint="eastAsia" w:ascii="宋体" w:hAnsi="宋体" w:eastAsia="宋体" w:cs="Times New Roman"/>
                        <w:sz w:val="28"/>
                        <w:lang w:eastAsia="zh-CN"/>
                      </w:rPr>
                      <w:fldChar w:fldCharType="end"/>
                    </w:r>
                    <w:r>
                      <w:rPr>
                        <w:rFonts w:hint="eastAsia" w:ascii="宋体" w:hAnsi="宋体" w:eastAsia="宋体" w:cs="Times New Roman"/>
                        <w:sz w:val="24"/>
                        <w:lang w:eastAsia="zh-CN"/>
                      </w:rPr>
                      <w:t>　</w:t>
                    </w:r>
                    <w:r>
                      <w:rPr>
                        <w:rFonts w:hint="eastAsia" w:ascii="宋体" w:hAnsi="宋体" w:eastAsia="宋体" w:cs="Times New Roman"/>
                        <w:sz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5FB44F3"/>
    <w:rsid w:val="1A3CC8AB"/>
    <w:rsid w:val="2F7FAD59"/>
    <w:rsid w:val="377C22C8"/>
    <w:rsid w:val="3E5FF193"/>
    <w:rsid w:val="3EF63F74"/>
    <w:rsid w:val="437B2CB2"/>
    <w:rsid w:val="4FFE23AF"/>
    <w:rsid w:val="5967D1D6"/>
    <w:rsid w:val="5DF7CA0F"/>
    <w:rsid w:val="5FEDD9A5"/>
    <w:rsid w:val="6D7F2869"/>
    <w:rsid w:val="6FB76411"/>
    <w:rsid w:val="793EF250"/>
    <w:rsid w:val="7EFF583F"/>
    <w:rsid w:val="7FB3F6A5"/>
    <w:rsid w:val="9F5A3F04"/>
    <w:rsid w:val="B6D87254"/>
    <w:rsid w:val="BFAFB4CE"/>
    <w:rsid w:val="BFEDB419"/>
    <w:rsid w:val="BFEF6D8D"/>
    <w:rsid w:val="DBDE426D"/>
    <w:rsid w:val="DC3F7748"/>
    <w:rsid w:val="E3CD692C"/>
    <w:rsid w:val="EAF8F8A2"/>
    <w:rsid w:val="F097A97B"/>
    <w:rsid w:val="F5FB44F3"/>
    <w:rsid w:val="F5FF29A6"/>
    <w:rsid w:val="F6FF9368"/>
    <w:rsid w:val="F7DB543D"/>
    <w:rsid w:val="F7F4AB6A"/>
    <w:rsid w:val="FDF5B6CD"/>
    <w:rsid w:val="FFD775A0"/>
    <w:rsid w:val="FFFFC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kinsoku/>
      <w:overflowPunct w:val="0"/>
      <w:topLinePunct/>
      <w:autoSpaceDE w:val="0"/>
      <w:autoSpaceDN w:val="0"/>
      <w:adjustRightInd w:val="0"/>
      <w:snapToGrid w:val="0"/>
      <w:spacing w:line="360" w:lineRule="auto"/>
      <w:ind w:firstLine="480" w:firstLineChars="200"/>
      <w:jc w:val="left"/>
      <w:textAlignment w:val="top"/>
    </w:pPr>
    <w:rPr>
      <w:rFonts w:ascii="Times New Roman" w:hAnsi="Times New Roman" w:eastAsia="仿宋" w:cs="Arial"/>
      <w:snapToGrid w:val="0"/>
      <w:color w:val="000000"/>
      <w:kern w:val="0"/>
      <w:sz w:val="32"/>
      <w:szCs w:val="21"/>
      <w:lang w:val="en-US"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2025-10-21T09:14:00Z</dcterms:created>
  <dc:creator>huhaiwu</dc:creator>
  <cp:lastModifiedBy>任蓓</cp:lastModifiedBy>
  <dcterms:modified xsi:type="dcterms:W3CDTF">2025-12-29T17:06:31Z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AFC1AFBB71D7A292F30CFA68938036B9</vt:lpwstr>
  </property>
</Properties>
</file>