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9" w:lineRule="exact"/>
        <w:ind w:firstLine="598" w:firstLineChars="187"/>
        <w:jc w:val="left"/>
        <w:rPr>
          <w:rFonts w:asciiTheme="minorHAnsi" w:hAnsiTheme="minorHAnsi" w:eastAsiaTheme="minorEastAsia" w:cstheme="minorBidi"/>
          <w:sz w:val="32"/>
          <w:szCs w:val="32"/>
        </w:rPr>
      </w:pPr>
    </w:p>
    <w:p>
      <w:pPr>
        <w:adjustRightInd w:val="0"/>
        <w:snapToGrid w:val="0"/>
        <w:spacing w:line="579" w:lineRule="exact"/>
        <w:ind w:firstLine="598" w:firstLineChars="187"/>
        <w:jc w:val="left"/>
        <w:rPr>
          <w:rFonts w:hint="eastAsia" w:asciiTheme="minorHAnsi" w:hAnsiTheme="minorHAnsi" w:eastAsiaTheme="minorEastAsia" w:cstheme="minorBidi"/>
          <w:sz w:val="32"/>
          <w:szCs w:val="32"/>
          <w:lang w:val="en-US" w:eastAsia="zh-CN"/>
        </w:rPr>
      </w:pPr>
      <w:r>
        <w:rPr>
          <w:rFonts w:hint="eastAsia" w:asciiTheme="minorHAnsi" w:hAnsiTheme="minorHAnsi" w:eastAsiaTheme="minorEastAsia" w:cstheme="minorBidi"/>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98" w:firstLineChars="187"/>
        <w:jc w:val="right"/>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深福建函〔2025〕330号</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left"/>
        <w:textAlignment w:val="auto"/>
        <w:outlineLvl w:val="9"/>
        <w:rPr>
          <w:rFonts w:hint="eastAsia" w:ascii="仿宋_GB2312" w:hAnsi="仿宋_GB2312" w:eastAsia="仿宋_GB2312" w:cs="仿宋_GB2312"/>
          <w:b w:val="0"/>
          <w:bCs w:val="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rPr>
        <w:t>深圳市福田区住房和建设局对</w:t>
      </w:r>
      <w:r>
        <w:rPr>
          <w:rFonts w:hint="eastAsia" w:ascii="方正小标宋简体" w:hAnsi="方正小标宋简体" w:eastAsia="方正小标宋简体" w:cs="方正小标宋简体"/>
          <w:spacing w:val="0"/>
          <w:sz w:val="44"/>
          <w:szCs w:val="44"/>
          <w:lang w:eastAsia="zh-CN"/>
        </w:rPr>
        <w:t>福田区</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pacing w:val="0"/>
          <w:sz w:val="44"/>
          <w:szCs w:val="44"/>
        </w:rPr>
      </w:pPr>
      <w:r>
        <w:rPr>
          <w:rFonts w:hint="eastAsia" w:ascii="方正小标宋简体" w:hAnsi="方正小标宋简体" w:eastAsia="方正小标宋简体" w:cs="方正小标宋简体"/>
          <w:spacing w:val="0"/>
          <w:sz w:val="44"/>
          <w:szCs w:val="44"/>
          <w:lang w:eastAsia="zh-CN"/>
        </w:rPr>
        <w:t>政协六届五次会议</w:t>
      </w:r>
      <w:r>
        <w:rPr>
          <w:rFonts w:hint="eastAsia" w:ascii="方正小标宋简体" w:hAnsi="方正小标宋简体" w:eastAsia="方正小标宋简体" w:cs="方正小标宋简体"/>
          <w:spacing w:val="0"/>
          <w:sz w:val="44"/>
          <w:szCs w:val="44"/>
          <w:lang w:val="en-US" w:eastAsia="zh-CN"/>
        </w:rPr>
        <w:t>第2025079</w:t>
      </w:r>
      <w:r>
        <w:rPr>
          <w:rFonts w:hint="eastAsia" w:ascii="方正小标宋简体" w:hAnsi="方正小标宋简体" w:eastAsia="方正小标宋简体" w:cs="方正小标宋简体"/>
          <w:spacing w:val="0"/>
          <w:sz w:val="44"/>
          <w:szCs w:val="44"/>
        </w:rPr>
        <w:t>号</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lang w:eastAsia="zh-CN"/>
        </w:rPr>
        <w:t>提案</w:t>
      </w:r>
      <w:r>
        <w:rPr>
          <w:rFonts w:hint="eastAsia" w:ascii="方正小标宋简体" w:hAnsi="方正小标宋简体" w:eastAsia="方正小标宋简体" w:cs="方正小标宋简体"/>
          <w:spacing w:val="0"/>
          <w:sz w:val="44"/>
          <w:szCs w:val="44"/>
        </w:rPr>
        <w:t>的</w:t>
      </w:r>
      <w:r>
        <w:rPr>
          <w:rFonts w:hint="eastAsia" w:ascii="方正小标宋简体" w:hAnsi="方正小标宋简体" w:eastAsia="方正小标宋简体" w:cs="方正小标宋简体"/>
          <w:spacing w:val="0"/>
          <w:sz w:val="44"/>
          <w:szCs w:val="44"/>
          <w:lang w:eastAsia="zh-CN"/>
        </w:rPr>
        <w:t>答复</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尊敬的</w:t>
      </w:r>
      <w:r>
        <w:rPr>
          <w:rFonts w:hint="eastAsia" w:ascii="仿宋_GB2312" w:hAnsi="仿宋_GB2312" w:eastAsia="仿宋_GB2312" w:cs="仿宋_GB2312"/>
          <w:sz w:val="32"/>
          <w:szCs w:val="32"/>
          <w:lang w:val="en-US" w:eastAsia="zh-CN"/>
        </w:rPr>
        <w:t>杨丽艳委员</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98" w:firstLineChars="187"/>
        <w:jc w:val="both"/>
        <w:textAlignment w:val="auto"/>
        <w:outlineLvl w:val="9"/>
        <w:rPr>
          <w:rFonts w:hint="eastAsia" w:ascii="仿宋_GB2312" w:hAnsi="Calibri" w:eastAsia="仿宋_GB2312" w:cs="Times New Roman"/>
          <w:sz w:val="32"/>
          <w:szCs w:val="32"/>
        </w:rPr>
      </w:pPr>
      <w:r>
        <w:rPr>
          <w:rFonts w:hint="eastAsia" w:ascii="仿宋_GB2312" w:hAnsi="仿宋_GB2312" w:eastAsia="仿宋_GB2312" w:cs="仿宋_GB2312"/>
          <w:sz w:val="32"/>
          <w:szCs w:val="32"/>
        </w:rPr>
        <w:t>深圳市福田区政协六届</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次会议第2025079号《关于全力推进“百千万工程”，开展未来社区试点建设的建议》已收悉。</w:t>
      </w:r>
      <w:r>
        <w:rPr>
          <w:rFonts w:hint="eastAsia" w:ascii="仿宋_GB2312" w:hAnsi="仿宋_GB2312" w:eastAsia="仿宋_GB2312" w:cs="仿宋_GB2312"/>
          <w:sz w:val="32"/>
          <w:szCs w:val="32"/>
          <w:lang w:val="en-US" w:eastAsia="zh-CN"/>
        </w:rPr>
        <w:t>经认真研究，现将办理意见回复如下</w:t>
      </w:r>
      <w:r>
        <w:rPr>
          <w:rFonts w:hint="eastAsia" w:ascii="仿宋_GB2312" w:hAnsi="Calibri" w:eastAsia="仿宋_GB2312" w:cs="Times New Roman"/>
          <w:sz w:val="32"/>
          <w:szCs w:val="32"/>
        </w:rPr>
        <w:t>：</w:t>
      </w:r>
    </w:p>
    <w:p>
      <w:pPr>
        <w:pStyle w:val="2"/>
        <w:adjustRightInd w:val="0"/>
        <w:snapToGrid w:val="0"/>
        <w:spacing w:after="0" w:line="579" w:lineRule="exact"/>
        <w:ind w:left="0" w:leftChars="0" w:firstLine="598" w:firstLineChars="187"/>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我局高度赞同您关于未来社区建设的建议，目前福田区园岭街道长城社区已申报广东省未来社区试点，后续我局将把您的建议运用到试点工作中。</w:t>
      </w:r>
    </w:p>
    <w:p>
      <w:pPr>
        <w:pStyle w:val="4"/>
        <w:keepNext w:val="0"/>
        <w:keepLines w:val="0"/>
        <w:pageBreakBefore w:val="0"/>
        <w:widowControl w:val="0"/>
        <w:numPr>
          <w:ilvl w:val="0"/>
          <w:numId w:val="1"/>
        </w:numPr>
        <w:kinsoku/>
        <w:overflowPunct/>
        <w:topLinePunct w:val="0"/>
        <w:autoSpaceDE/>
        <w:autoSpaceDN/>
        <w:bidi w:val="0"/>
        <w:adjustRightInd w:val="0"/>
        <w:snapToGrid w:val="0"/>
        <w:spacing w:line="579" w:lineRule="exact"/>
        <w:ind w:left="0" w:leftChars="0" w:right="0" w:rightChars="0" w:firstLine="598" w:firstLineChars="187"/>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关于开展未来社区建设指标体系及建设机制研究</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98" w:firstLineChars="187"/>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年，广东省“百县千镇万村高质量发展工程”指挥部城镇建设专班印发《广东省未来社区（完整社区）建设试点工作方案》（以下简称《工作方案》）、《广东省未来社区（完整社区）建设技术指引（试行）》（以下简称《指引》）。《工作方案》制定了建设试点任务及分工表，规定未来社区重点打造八大场景。《指引》建立了可评价的建设指标体系，并根据省不同地区城市差异化情况，因地制宜提出差异化建设指标要求。更新改造类未来社区试点项目共31项指标，14项基础项，17项特色项；超大城市要求符合14项基础项和至少6项特色项。</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98" w:firstLineChars="187"/>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我区已申报园岭街道长城社区为广东省未来社区建设试点。</w:t>
      </w:r>
      <w:r>
        <w:rPr>
          <w:rFonts w:hint="eastAsia" w:ascii="仿宋_GB2312" w:hAnsi="仿宋_GB2312" w:eastAsia="仿宋_GB2312" w:cs="仿宋_GB2312"/>
          <w:b w:val="0"/>
          <w:bCs w:val="0"/>
          <w:sz w:val="32"/>
          <w:szCs w:val="32"/>
          <w:lang w:val="en-US" w:eastAsia="zh-CN"/>
        </w:rPr>
        <w:t>后续在试点建设时，我局将结合益田社区完整社区建设经验，将指标分解到相关职能部门，做好统筹工作，构建有效的建设机制。</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98" w:firstLineChars="187"/>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二、关于推动规划与建设运营的有效衔接，筹措资金开展未来社区试点建设</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98" w:firstLineChars="187"/>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区已选取条件较好的园岭街道长城社区申报建设试点，计划在试点建设时融入全龄友好的活动空间、崇尚运动的健康生活、老有颐养的养老保障等未来社区场景，赋予社区更稳定的安全性、更完善的便利性，为老百姓打造宜居宜业宜游的乐园。我区未来社区建设将以老旧小区改造、城中村综合整治为抓手，统筹开展成片连片改造提升，以建筑本体、消防设施等底线改造为基，兼顾道路空间、公共空间、绿化空间等完善类提升，提高片区“韧性”。</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98" w:firstLineChars="187"/>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我局高度赞成您关于多渠道</w:t>
      </w:r>
      <w:r>
        <w:rPr>
          <w:rFonts w:hint="eastAsia" w:ascii="仿宋_GB2312" w:hAnsi="仿宋_GB2312" w:eastAsia="仿宋_GB2312" w:cs="仿宋_GB2312"/>
          <w:b w:val="0"/>
          <w:bCs w:val="0"/>
          <w:sz w:val="32"/>
          <w:szCs w:val="32"/>
          <w:lang w:val="en-US" w:eastAsia="zh-CN"/>
        </w:rPr>
        <w:t>筹措资金开展未来社区试点建设的建议。为缓解区财政紧张局面，我局将加强资金谋划，一是积极向上争取老旧小区和城中村改造中央补助资金和中央预算内资金；二是谋划政府收益，争取发行专项债；三是在社区食堂、养老、屋顶光伏等有收益的建设内容上积极引入社会投资，激发社会活力；四是鼓励和引导居民、物业管理单位出资参与建设，如利用本体维修金建设部分内容。
</w:t>
      </w:r>
      <w:r>
        <w:rPr>
          <w:rFonts w:hint="eastAsia" w:ascii="仿宋_GB2312" w:hAnsi="仿宋_GB2312" w:eastAsia="仿宋_GB2312" w:cs="仿宋_GB2312"/>
          <w:b w:val="0"/>
          <w:bCs w:val="0"/>
          <w:sz w:val="32"/>
          <w:szCs w:val="32"/>
          <w:lang w:val="en-US" w:eastAsia="zh-CN"/>
        </w:rPr>
        <w:cr/>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sz w:val="32"/>
          <w:szCs w:val="32"/>
          <w:lang w:val="en-US" w:eastAsia="zh-CN"/>
        </w:rPr>
        <w:t>今年，我区成功申请老旧小区改造中央财政补助资金1537万元和中央预算投资资金2555万元、统筹发行老旧小区改造专项债1100万元，以及合理利用</w:t>
      </w:r>
      <w:r>
        <w:rPr>
          <w:rFonts w:ascii="仿宋_GB2312" w:hAnsi="仿宋_GB2312" w:eastAsia="仿宋_GB2312" w:cs="仿宋_GB2312"/>
          <w:kern w:val="0"/>
          <w:sz w:val="31"/>
          <w:szCs w:val="31"/>
          <w:lang w:bidi="ar"/>
        </w:rPr>
        <w:t>“民生微实事”政府资金</w:t>
      </w:r>
      <w:r>
        <w:rPr>
          <w:rFonts w:hint="eastAsia" w:ascii="仿宋_GB2312" w:hAnsi="仿宋_GB2312" w:eastAsia="仿宋_GB2312" w:cs="仿宋_GB2312"/>
          <w:kern w:val="0"/>
          <w:sz w:val="31"/>
          <w:szCs w:val="31"/>
          <w:lang w:eastAsia="zh-CN" w:bidi="ar"/>
        </w:rPr>
        <w:t>，</w:t>
      </w:r>
      <w:r>
        <w:rPr>
          <w:rFonts w:hint="eastAsia" w:ascii="仿宋_GB2312" w:hAnsi="仿宋_GB2312" w:eastAsia="仿宋_GB2312" w:cs="仿宋_GB2312"/>
          <w:sz w:val="32"/>
          <w:szCs w:val="32"/>
          <w:lang w:val="en-US" w:eastAsia="zh-CN"/>
        </w:rPr>
        <w:t>促进各类改造项目落地实施，助力改善居民生活环境，进一步推动未来社区建设。</w:t>
      </w:r>
    </w:p>
    <w:p>
      <w:pPr>
        <w:pStyle w:val="4"/>
        <w:keepNext w:val="0"/>
        <w:keepLines w:val="0"/>
        <w:pageBreakBefore w:val="0"/>
        <w:widowControl w:val="0"/>
        <w:numPr>
          <w:ilvl w:val="-1"/>
          <w:numId w:val="0"/>
        </w:numPr>
        <w:kinsoku/>
        <w:overflowPunct/>
        <w:topLinePunct w:val="0"/>
        <w:autoSpaceDE/>
        <w:autoSpaceDN/>
        <w:bidi w:val="0"/>
        <w:adjustRightInd w:val="0"/>
        <w:snapToGrid w:val="0"/>
        <w:spacing w:line="579" w:lineRule="exact"/>
        <w:ind w:left="0" w:leftChars="0" w:right="0" w:rightChars="0" w:firstLine="598" w:firstLineChars="187"/>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三、关于鼓励多元主体合作共治，满足居民对未来美好生活多维需求</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98" w:firstLineChars="187"/>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我局高度赞同利用数字技术手段提升未来社区现代化水平、发动多元主体共同参与未来社区建设的建议。我局将在</w:t>
      </w:r>
      <w:r>
        <w:rPr>
          <w:rFonts w:hint="eastAsia" w:ascii="仿宋_GB2312" w:hAnsi="仿宋_GB2312" w:eastAsia="仿宋_GB2312" w:cs="仿宋_GB2312"/>
          <w:sz w:val="32"/>
          <w:szCs w:val="32"/>
          <w:lang w:val="en-US" w:eastAsia="zh-CN"/>
        </w:rPr>
        <w:t>未来社区试点时强化数字技术赋能，支持和引导市场主体投资建设智慧停车和充电设施、智能零售终端、智能快递柜等便民设施，投资运营长者服务中心、托幼场所等服务设施，构建更加智慧、更加便捷的现代化社区。以福保街道明月社区信托花园为例，该小区物业管理单位上线智慧AI系统，接入垃圾站、路口、电动车充电点等重点区域监控设备，实时监测烟火隐患、人员异常聚集、电动车违规停放等情况，将处置响应时间从以往的30分钟缩短至10分钟，预警并消除安全隐患60余起，</w:t>
      </w:r>
      <w:r>
        <w:rPr>
          <w:rFonts w:hint="eastAsia" w:ascii="仿宋_GB2312" w:hAnsi="仿宋_GB2312" w:eastAsia="仿宋_GB2312" w:cs="仿宋_GB2312"/>
          <w:sz w:val="32"/>
          <w:szCs w:val="32"/>
        </w:rPr>
        <w:t>让治理更精准、服务更便捷</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98" w:firstLineChars="187"/>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为实现未来社区建设全民参与、共建共享，我局将常态化开展社区共建共联议事会、居民观察团、儿童议事会、“党员服务市集”等活动，同时通过</w:t>
      </w:r>
      <w:r>
        <w:rPr>
          <w:rFonts w:hint="eastAsia" w:ascii="仿宋_GB2312" w:hAnsi="Arial" w:eastAsia="仿宋_GB2312" w:cs="Arial"/>
          <w:b w:val="0"/>
          <w:bCs w:val="0"/>
          <w:sz w:val="32"/>
          <w:szCs w:val="32"/>
          <w:lang w:val="en-US" w:eastAsia="zh-CN"/>
        </w:rPr>
        <w:t>“i福田”、社区微信群等线上渠道，</w:t>
      </w:r>
      <w:r>
        <w:rPr>
          <w:rFonts w:hint="eastAsia" w:ascii="仿宋_GB2312" w:hAnsi="仿宋_GB2312" w:eastAsia="仿宋_GB2312" w:cs="仿宋_GB2312"/>
          <w:sz w:val="32"/>
          <w:szCs w:val="32"/>
          <w:lang w:val="en-US" w:eastAsia="zh-CN"/>
        </w:rPr>
        <w:t>广泛收集居民关于未来社区建设的诉求与建议，保障建设内容精</w:t>
      </w:r>
      <w:bookmarkStart w:id="0" w:name="_GoBack"/>
      <w:bookmarkEnd w:id="0"/>
      <w:r>
        <w:rPr>
          <w:rFonts w:hint="eastAsia" w:ascii="仿宋_GB2312" w:hAnsi="仿宋_GB2312" w:eastAsia="仿宋_GB2312" w:cs="仿宋_GB2312"/>
          <w:sz w:val="32"/>
          <w:szCs w:val="32"/>
          <w:lang w:val="en-US" w:eastAsia="zh-CN"/>
        </w:rPr>
        <w:t>准满足实际需求，把未来社区建设工作做实做细。通过组建专业志愿队伍、培育社群社团组织、吸引社会企业投资建设等方式，推动未来社区多元主体共建共享。</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98" w:firstLineChars="187"/>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再次感谢您对</w:t>
      </w:r>
      <w:r>
        <w:rPr>
          <w:rFonts w:hint="eastAsia" w:ascii="仿宋_GB2312" w:hAnsi="仿宋_GB2312" w:eastAsia="仿宋_GB2312" w:cs="仿宋_GB2312"/>
          <w:sz w:val="32"/>
          <w:szCs w:val="32"/>
          <w:lang w:val="en-US" w:eastAsia="zh-CN"/>
        </w:rPr>
        <w:t>未来社区建设工作的关心!</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598" w:firstLineChars="187"/>
        <w:jc w:val="both"/>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598" w:firstLineChars="187"/>
        <w:jc w:val="right"/>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 xml:space="preserve">    深圳市</w:t>
      </w:r>
      <w:r>
        <w:rPr>
          <w:rFonts w:hint="eastAsia" w:ascii="仿宋_GB2312" w:hAnsi="仿宋_GB2312" w:eastAsia="仿宋_GB2312" w:cs="仿宋_GB2312"/>
          <w:sz w:val="32"/>
          <w:szCs w:val="32"/>
        </w:rPr>
        <w:t>福田区住</w:t>
      </w:r>
      <w:r>
        <w:rPr>
          <w:rFonts w:hint="eastAsia" w:ascii="仿宋_GB2312" w:hAnsi="仿宋_GB2312" w:eastAsia="仿宋_GB2312" w:cs="仿宋_GB2312"/>
          <w:sz w:val="32"/>
          <w:szCs w:val="32"/>
          <w:lang w:eastAsia="zh-CN"/>
        </w:rPr>
        <w:t>房和</w:t>
      </w:r>
      <w:r>
        <w:rPr>
          <w:rFonts w:hint="eastAsia" w:ascii="仿宋_GB2312" w:hAnsi="仿宋_GB2312" w:eastAsia="仿宋_GB2312" w:cs="仿宋_GB2312"/>
          <w:sz w:val="32"/>
          <w:szCs w:val="32"/>
        </w:rPr>
        <w:t>建</w:t>
      </w:r>
      <w:r>
        <w:rPr>
          <w:rFonts w:hint="eastAsia" w:ascii="仿宋_GB2312" w:hAnsi="仿宋_GB2312" w:eastAsia="仿宋_GB2312" w:cs="仿宋_GB2312"/>
          <w:sz w:val="32"/>
          <w:szCs w:val="32"/>
          <w:lang w:eastAsia="zh-CN"/>
        </w:rPr>
        <w:t>设</w:t>
      </w:r>
      <w:r>
        <w:rPr>
          <w:rFonts w:hint="eastAsia" w:ascii="仿宋_GB2312" w:hAnsi="仿宋_GB2312" w:eastAsia="仿宋_GB2312" w:cs="仿宋_GB2312"/>
          <w:sz w:val="32"/>
          <w:szCs w:val="32"/>
        </w:rPr>
        <w:t>局</w:t>
      </w:r>
    </w:p>
    <w:p>
      <w:pPr>
        <w:keepNext w:val="0"/>
        <w:keepLines w:val="0"/>
        <w:pageBreakBefore w:val="0"/>
        <w:kinsoku/>
        <w:wordWrap/>
        <w:overflowPunct/>
        <w:topLinePunct w:val="0"/>
        <w:autoSpaceDE/>
        <w:autoSpaceDN/>
        <w:bidi w:val="0"/>
        <w:adjustRightInd w:val="0"/>
        <w:snapToGrid w:val="0"/>
        <w:spacing w:line="579" w:lineRule="exact"/>
        <w:ind w:left="0" w:leftChars="0" w:right="485" w:rightChars="0" w:firstLine="598" w:firstLineChars="187"/>
        <w:jc w:val="righ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598" w:firstLineChars="187"/>
        <w:jc w:val="both"/>
        <w:textAlignment w:val="auto"/>
        <w:outlineLvl w:val="9"/>
        <w:rPr>
          <w:rFonts w:hint="eastAsia" w:ascii="仿宋_GB2312" w:hAnsi="仿宋_GB2312" w:eastAsia="仿宋_GB2312" w:cs="仿宋_GB2312"/>
          <w:sz w:val="32"/>
          <w:szCs w:val="32"/>
        </w:rPr>
      </w:pPr>
    </w:p>
    <w:p>
      <w:pPr>
        <w:keepNext w:val="0"/>
        <w:keepLines w:val="0"/>
        <w:pageBreakBefore w:val="0"/>
        <w:kinsoku/>
        <w:overflowPunct/>
        <w:topLinePunct w:val="0"/>
        <w:autoSpaceDE/>
        <w:autoSpaceDN/>
        <w:bidi w:val="0"/>
        <w:adjustRightInd w:val="0"/>
        <w:snapToGrid w:val="0"/>
        <w:spacing w:line="579" w:lineRule="exact"/>
        <w:ind w:firstLine="598" w:firstLineChars="187"/>
        <w:jc w:val="both"/>
        <w:textAlignment w:val="auto"/>
        <w:rPr>
          <w:rFonts w:hint="eastAsia" w:ascii="黑体" w:hAnsi="黑体" w:eastAsia="黑体" w:cs="黑体"/>
          <w:b w:val="0"/>
          <w:bCs/>
          <w:snapToGrid w:val="0"/>
          <w:kern w:val="2"/>
          <w:sz w:val="32"/>
          <w:szCs w:val="32"/>
          <w:lang w:val="en-US" w:eastAsia="zh-CN" w:bidi="ar-SA"/>
        </w:rPr>
      </w:pPr>
    </w:p>
    <w:p>
      <w:pPr>
        <w:pStyle w:val="2"/>
        <w:adjustRightInd w:val="0"/>
        <w:snapToGrid w:val="0"/>
        <w:spacing w:after="0" w:line="579" w:lineRule="exact"/>
        <w:ind w:left="0" w:leftChars="0" w:firstLine="598" w:firstLineChars="187"/>
        <w:jc w:val="both"/>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ind w:firstLine="598" w:firstLineChars="187"/>
        <w:jc w:val="both"/>
        <w:rPr>
          <w:rFonts w:hint="eastAsia" w:ascii="黑体" w:hAnsi="黑体" w:eastAsia="黑体" w:cs="黑体"/>
          <w:b w:val="0"/>
          <w:bCs/>
          <w:snapToGrid w:val="0"/>
          <w:kern w:val="2"/>
          <w:sz w:val="32"/>
          <w:szCs w:val="32"/>
          <w:lang w:val="en-US" w:eastAsia="zh-CN" w:bidi="ar-SA"/>
        </w:rPr>
      </w:pPr>
    </w:p>
    <w:p>
      <w:pPr>
        <w:pStyle w:val="2"/>
        <w:adjustRightInd w:val="0"/>
        <w:snapToGrid w:val="0"/>
        <w:spacing w:after="0" w:line="579" w:lineRule="exact"/>
        <w:ind w:left="0" w:leftChars="0" w:firstLine="598" w:firstLineChars="187"/>
        <w:jc w:val="both"/>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ind w:firstLine="598" w:firstLineChars="187"/>
        <w:jc w:val="both"/>
        <w:rPr>
          <w:rFonts w:hint="eastAsia" w:ascii="黑体" w:hAnsi="黑体" w:eastAsia="黑体" w:cs="黑体"/>
          <w:b w:val="0"/>
          <w:bCs/>
          <w:snapToGrid w:val="0"/>
          <w:kern w:val="2"/>
          <w:sz w:val="32"/>
          <w:szCs w:val="32"/>
          <w:lang w:val="en-US" w:eastAsia="zh-CN" w:bidi="ar-SA"/>
        </w:rPr>
      </w:pPr>
    </w:p>
    <w:p>
      <w:pPr>
        <w:pStyle w:val="2"/>
        <w:adjustRightInd w:val="0"/>
        <w:snapToGrid w:val="0"/>
        <w:spacing w:after="0" w:line="579" w:lineRule="exact"/>
        <w:ind w:left="0" w:leftChars="0" w:firstLine="598" w:firstLineChars="187"/>
        <w:jc w:val="both"/>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ind w:firstLine="598" w:firstLineChars="187"/>
        <w:jc w:val="both"/>
        <w:rPr>
          <w:rFonts w:hint="eastAsia" w:ascii="黑体" w:hAnsi="黑体" w:eastAsia="黑体" w:cs="黑体"/>
          <w:b w:val="0"/>
          <w:bCs/>
          <w:snapToGrid w:val="0"/>
          <w:kern w:val="2"/>
          <w:sz w:val="32"/>
          <w:szCs w:val="32"/>
          <w:lang w:val="en-US" w:eastAsia="zh-CN" w:bidi="ar-SA"/>
        </w:rPr>
      </w:pPr>
    </w:p>
    <w:p>
      <w:pPr>
        <w:pStyle w:val="2"/>
        <w:adjustRightInd w:val="0"/>
        <w:snapToGrid w:val="0"/>
        <w:spacing w:after="0" w:line="579" w:lineRule="exact"/>
        <w:ind w:left="0" w:leftChars="0" w:firstLine="598" w:firstLineChars="187"/>
        <w:jc w:val="both"/>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ind w:firstLine="392" w:firstLineChars="187"/>
        <w:jc w:val="both"/>
        <w:rPr>
          <w:rFonts w:hint="eastAsia" w:ascii="Calibri" w:hAnsi="Calibri" w:eastAsia="宋体" w:cs="Times New Roman"/>
          <w:lang w:val="en-US" w:eastAsia="zh-CN"/>
        </w:rPr>
      </w:pPr>
    </w:p>
    <w:p>
      <w:pPr>
        <w:adjustRightInd w:val="0"/>
        <w:snapToGrid w:val="0"/>
        <w:spacing w:line="579" w:lineRule="exact"/>
        <w:ind w:firstLine="392" w:firstLineChars="187"/>
        <w:jc w:val="both"/>
        <w:rPr>
          <w:rFonts w:hint="eastAsia" w:ascii="Calibri" w:hAnsi="Calibri" w:eastAsia="宋体" w:cs="Times New Roman"/>
          <w:lang w:val="en-US" w:eastAsia="zh-CN"/>
        </w:rPr>
      </w:pPr>
    </w:p>
    <w:p>
      <w:pPr>
        <w:adjustRightInd w:val="0"/>
        <w:snapToGrid w:val="0"/>
        <w:spacing w:line="579" w:lineRule="exact"/>
        <w:ind w:firstLine="0" w:firstLineChars="0"/>
        <w:jc w:val="both"/>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ind w:firstLine="0" w:firstLineChars="0"/>
        <w:jc w:val="both"/>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ind w:firstLine="0" w:firstLineChars="0"/>
        <w:jc w:val="both"/>
      </w:pPr>
      <w:r>
        <w:rPr>
          <w:rFonts w:hint="eastAsia" w:ascii="黑体" w:hAnsi="黑体" w:eastAsia="黑体" w:cs="黑体"/>
          <w:b w:val="0"/>
          <w:bCs/>
          <w:snapToGrid w:val="0"/>
          <w:kern w:val="2"/>
          <w:sz w:val="32"/>
          <w:szCs w:val="32"/>
          <w:lang w:val="en-US" w:eastAsia="zh-CN" w:bidi="ar-SA"/>
        </w:rPr>
        <w:t>公开方式：</w:t>
      </w:r>
      <w:r>
        <w:rPr>
          <w:rFonts w:hint="eastAsia" w:ascii="仿宋_GB2312" w:hAnsi="仿宋_GB2312" w:eastAsia="仿宋_GB2312" w:cs="仿宋_GB2312"/>
          <w:b w:val="0"/>
          <w:bCs/>
          <w:snapToGrid w:val="0"/>
          <w:kern w:val="2"/>
          <w:sz w:val="32"/>
          <w:szCs w:val="32"/>
          <w:lang w:val="en-US" w:eastAsia="zh-CN" w:bidi="ar-SA"/>
        </w:rPr>
        <w:t>主动公开</w:t>
      </w:r>
    </w:p>
    <w:sectPr>
      <w:footerReference r:id="rId3" w:type="default"/>
      <w:pgSz w:w="11906" w:h="16838"/>
      <w:pgMar w:top="2098" w:right="1474" w:bottom="1984" w:left="1587" w:header="851" w:footer="136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汉仪中秀体简">
    <w:panose1 w:val="00020600040101010101"/>
    <w:charset w:val="86"/>
    <w:family w:val="auto"/>
    <w:pitch w:val="default"/>
    <w:sig w:usb0="A00002BF" w:usb1="1ACF7CFA" w:usb2="00000016" w:usb3="00000000" w:csb0="0004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203200" tIns="0" rIns="20320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">
              <v:fill on="f" focussize="0,0"/>
              <v:stroke on="f" weight="0.5pt"/>
              <v:imagedata o:title=""/>
              <o:lock v:ext="edit" aspectratio="f"/>
              <v:textbox inset="16pt,0mm,16pt,0mm" style="mso-fit-shape-to-text:t;">
                <w:txbxContent>
                  <w:p>
                    <w:pPr>
                      <w:pStyle w:val="5"/>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9801F8"/>
    <w:multiLevelType w:val="singleLevel"/>
    <w:tmpl w:val="099801F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2A6F07"/>
    <w:rsid w:val="3775BF1D"/>
    <w:rsid w:val="38082B44"/>
    <w:rsid w:val="3DB7A06D"/>
    <w:rsid w:val="452A6F07"/>
    <w:rsid w:val="535F80B4"/>
    <w:rsid w:val="5AC226A1"/>
    <w:rsid w:val="5B7946FF"/>
    <w:rsid w:val="61D01C60"/>
    <w:rsid w:val="6B679D54"/>
    <w:rsid w:val="6BBF69C4"/>
    <w:rsid w:val="6DF6A577"/>
    <w:rsid w:val="7B7E783D"/>
    <w:rsid w:val="7BDFDA70"/>
    <w:rsid w:val="7EE4E3A9"/>
    <w:rsid w:val="7EE74CA4"/>
    <w:rsid w:val="7EF1A017"/>
    <w:rsid w:val="7F0EA678"/>
    <w:rsid w:val="97C7393B"/>
    <w:rsid w:val="B559F92F"/>
    <w:rsid w:val="CDDF424E"/>
    <w:rsid w:val="DF0EFB42"/>
    <w:rsid w:val="ED99DDAF"/>
    <w:rsid w:val="F6FF33E0"/>
    <w:rsid w:val="FBBFD949"/>
    <w:rsid w:val="FBF1F008"/>
    <w:rsid w:val="FFE5ED8E"/>
    <w:rsid w:val="FFF7D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line="413" w:lineRule="auto"/>
      <w:outlineLvl w:val="2"/>
    </w:pPr>
    <w:rPr>
      <w:rFonts w:ascii="Times New Roman" w:hAnsi="Times New Roman" w:eastAsia="宋体" w:cs="Times New Roman"/>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next w:val="1"/>
    <w:qFormat/>
    <w:uiPriority w:val="0"/>
    <w:pPr>
      <w:widowControl w:val="0"/>
      <w:spacing w:after="120" w:line="480" w:lineRule="auto"/>
      <w:ind w:left="420" w:leftChars="200"/>
      <w:jc w:val="both"/>
    </w:pPr>
    <w:rPr>
      <w:rFonts w:ascii="Calibri" w:hAnsi="Calibri" w:eastAsia="宋体" w:cs="Times New Roman"/>
      <w:kern w:val="2"/>
      <w:sz w:val="21"/>
      <w:szCs w:val="22"/>
      <w:lang w:val="en-US" w:eastAsia="zh-CN" w:bidi="ar-SA"/>
    </w:rPr>
  </w:style>
  <w:style w:type="paragraph" w:styleId="4">
    <w:name w:val="Body Text"/>
    <w:basedOn w:val="1"/>
    <w:next w:val="1"/>
    <w:qFormat/>
    <w:uiPriority w:val="0"/>
    <w:pPr>
      <w:jc w:val="center"/>
    </w:pPr>
    <w:rPr>
      <w:rFonts w:ascii="宋体" w:hAnsi="宋体"/>
      <w:sz w:val="28"/>
      <w:lang w:val="en-GB"/>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2025-10-17T04:20:00Z</dcterms:created>
  <dc:creator>何盛强</dc:creator>
  <cp:lastModifiedBy>任蓓</cp:lastModifiedBy>
  <dcterms:modified xsi:type="dcterms:W3CDTF">2025-12-29T17:18:54Z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470601DAC520D4759E38FF68A20D5E18</vt:lpwstr>
  </property>
</Properties>
</file>