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79" w:lineRule="exact"/>
        <w:jc w:val="left"/>
        <w:rPr>
          <w:rFonts w:asciiTheme="minorHAnsi" w:hAnsiTheme="minorHAnsi" w:eastAsiaTheme="minorEastAsia" w:cstheme="minorBidi"/>
          <w:sz w:val="21"/>
          <w:szCs w:val="24"/>
        </w:rPr>
      </w:pPr>
    </w:p>
    <w:p>
      <w:pPr>
        <w:adjustRightInd w:val="0"/>
        <w:snapToGrid w:val="0"/>
        <w:spacing w:line="579" w:lineRule="exact"/>
        <w:jc w:val="left"/>
        <w:rPr>
          <w:rFonts w:hint="eastAsia" w:asciiTheme="minorHAnsi" w:hAnsiTheme="minorHAnsi" w:eastAsiaTheme="minorEastAsia" w:cstheme="minorBidi"/>
          <w:sz w:val="21"/>
          <w:szCs w:val="24"/>
          <w:lang w:val="en-US" w:eastAsia="zh-CN"/>
        </w:rPr>
      </w:pPr>
      <w:r>
        <w:rPr>
          <w:rFonts w:hint="eastAsia" w:asciiTheme="minorHAnsi" w:hAnsiTheme="minorHAnsi" w:eastAsiaTheme="minorEastAsia" w:cstheme="minorBidi"/>
          <w:sz w:val="21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深福建函〔2025〕342号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深圳市福田区住房和建设局对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福田区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政协六届五次会议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第2025236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提案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的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答复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尊敬的蔡跃军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深圳市福田区政协六届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次会议第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</w:t>
      </w:r>
      <w:r>
        <w:rPr>
          <w:rFonts w:hint="eastAsia" w:ascii="仿宋_GB2312" w:hAnsi="仿宋_GB2312" w:eastAsia="仿宋_GB2312" w:cs="仿宋_GB2312"/>
          <w:sz w:val="32"/>
          <w:szCs w:val="32"/>
        </w:rPr>
        <w:t>号《关于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深圳市福田区建筑装饰行业高质量发展的提案</w:t>
      </w:r>
      <w:r>
        <w:rPr>
          <w:rFonts w:hint="eastAsia" w:ascii="仿宋_GB2312" w:hAnsi="仿宋_GB2312" w:eastAsia="仿宋_GB2312" w:cs="仿宋_GB2312"/>
          <w:sz w:val="32"/>
          <w:szCs w:val="32"/>
        </w:rPr>
        <w:t>》已收悉。</w:t>
      </w:r>
      <w:r>
        <w:rPr>
          <w:rFonts w:hint="eastAsia" w:ascii="仿宋_GB2312" w:hAnsi="仿宋" w:eastAsia="仿宋_GB2312" w:cs="仿宋"/>
          <w:bCs/>
          <w:snapToGrid w:val="0"/>
          <w:kern w:val="2"/>
          <w:sz w:val="32"/>
          <w:szCs w:val="32"/>
          <w:lang w:val="en-US" w:eastAsia="zh-CN" w:bidi="ar-SA"/>
        </w:rPr>
        <w:t>我局高度赞同您关于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建筑装饰行业高质量发展</w:t>
      </w:r>
      <w:r>
        <w:rPr>
          <w:rFonts w:hint="eastAsia" w:ascii="仿宋_GB2312" w:hAnsi="仿宋" w:eastAsia="仿宋_GB2312" w:cs="仿宋"/>
          <w:bCs/>
          <w:snapToGrid w:val="0"/>
          <w:kern w:val="2"/>
          <w:sz w:val="32"/>
          <w:szCs w:val="32"/>
          <w:lang w:val="en-US" w:eastAsia="zh-CN" w:bidi="ar-SA"/>
        </w:rPr>
        <w:t>的建议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zh-CN" w:eastAsia="zh-CN" w:bidi="ar-SA"/>
        </w:rPr>
        <w:t>，</w:t>
      </w:r>
      <w:r>
        <w:rPr>
          <w:rFonts w:hint="eastAsia" w:ascii="仿宋_GB2312" w:hAnsi="仿宋" w:eastAsia="仿宋_GB2312" w:cs="仿宋"/>
          <w:bCs/>
          <w:snapToGrid w:val="0"/>
          <w:kern w:val="2"/>
          <w:sz w:val="32"/>
          <w:szCs w:val="32"/>
          <w:lang w:val="en-US" w:eastAsia="zh-CN" w:bidi="ar-SA"/>
        </w:rPr>
        <w:t>非常感谢您们对我们工作的关心和支持。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经认真研究，现将办理意见回复如下</w:t>
      </w:r>
      <w:r>
        <w:rPr>
          <w:rFonts w:hint="eastAsia" w:ascii="仿宋_GB2312" w:hAnsi="Times New Roman" w:eastAsia="仿宋_GB2312" w:cs="仿宋_GB2312"/>
          <w:sz w:val="32"/>
          <w:szCs w:val="32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一、关于支持企业项目承揽的建议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根据国务院《公平竞争审查条例》及招投标相关行业法规要求，建设单位不得在招标过程中设置企业注册地址、纳统纳税金额等限制条款。在此规定背景下，区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住房建设局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始终秉持统一大市场原则，规范辖区建筑工程招投标市场管理，推动辖区企业公平、公正、公开参与项目竞争，同时在项目信息共享、投标文件编制上对辖区企业予以指导支持，</w:t>
      </w: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一是及时共享行业招标信息。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建立重点企业服务交流群，每日共享装饰行业动态。全区重点项目发布招标计划及公告后，第一时间通知企业高管，邀请企业选派优质团队参与投标。截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至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目前，已共享招标计划及公告42条，均为南华、华富棚改，金地工业区城市更新及香蜜湖、河套重点片区优质项目；</w:t>
      </w: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二是定期组织招标推介。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对于辖区优质装饰项目，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区住房建设局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已联合建设及代建单位组织项目推介会，邀请辖区重点装饰企业市场及投标团队参加推介，增进企业对项目了解程度，助力企业业务承揽。截至目前，已组织项目推介会3次，推介优质项目7个；</w:t>
      </w: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三是组织企业投标培训。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区住房建设局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将邀请专家团队对辖区重点装饰企业进行投标培训，对深圳市招投标政策、投标文件编制、述标注意事项等内容进行指导，助力企业业务承揽。</w:t>
      </w:r>
    </w:p>
    <w:p>
      <w:pPr>
        <w:pStyle w:val="2"/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二、关于产业用地及产业空间的建议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line="579" w:lineRule="exact"/>
        <w:ind w:firstLine="640" w:firstLineChars="200"/>
        <w:jc w:val="both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一是支持装饰企业申报总部用地。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根据《深圳市总部项目遴选及用地供应管理办法》相关规定，建筑装饰企业满足营收及地方财力要求后，可单独或联合申请总部用地。总部用地上除配套商业以外的建筑类型，出让底价按照评估价的70%确定，地价可以不计息分期缴交。对于具备成长潜力的重点装饰企业，福田</w:t>
      </w:r>
      <w:r>
        <w:rPr>
          <w:rFonts w:hint="eastAsia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区住房建设局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将主动指导企业申报市总部企业及申报总部用地；</w:t>
      </w: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二是加强建筑装饰产业空间筹集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2022年12月福田首个建筑装饰产业楼宇深业泰然坊落成后，</w:t>
      </w:r>
      <w:r>
        <w:rPr>
          <w:rFonts w:hint="eastAsia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区住房建设局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通过“政府支持，企业主导，协会共建”模式，打造建筑装饰产业聚焦地，吸引美芝装饰、华鹏科创等重点企业入驻。同时持续发掘辖区潜在建筑装饰产业楼宇，目前已初步选址设计大厦、鲁班大厦、岭南大厦等建筑业集聚地，储备建筑装饰产业空间2万平米</w:t>
      </w:r>
      <w:r>
        <w:rPr>
          <w:rFonts w:hint="eastAsia" w:hAnsi="Times New Roman" w:asciiTheme="minorHAnsi" w:eastAsiaTheme="minorEastAsia" w:cstheme="minorBidi"/>
          <w:b w:val="0"/>
          <w:bCs w:val="0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三是修订建筑装饰专业楼宇支持政策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区住房建设局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正修订支持建筑装饰设计产业政策，其中对于社会企业及机构投资建设及运营相应建筑装饰产业楼宇的，经认定符合条件的，将予以产业楼宇建设支持、运营支持等专项支持。</w:t>
      </w:r>
    </w:p>
    <w:p>
      <w:pPr>
        <w:pStyle w:val="2"/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三、关于老旧小区改造和发展家装市场的建议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line="579" w:lineRule="exact"/>
        <w:ind w:firstLine="640" w:firstLineChars="200"/>
        <w:jc w:val="both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一是积极推动辖区老旧小区改造。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十四五期间，福田区共推进111个老旧小区改造，其中78个已完工，33个正在进行中，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区住房建设局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始终大力支持辖区建筑业企业参与辖区老旧小区改造，今年以来，福田区重点装饰企业多次中标福田各街道老旧小区改造项目。后续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区住房建设局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将遵循“优先急需、滚动实施”原则，多途径筹措资金，继续推动老旧小区改造，同时积极开展项目推介，支持辖区企业参与改造；</w:t>
      </w: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二是大力推广家装补贴。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2024年深圳市家装补贴政策出台后，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区住房建设局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第一时间响应，联合区装饰协会、物业协会、辖区头部装修企业和家居卖场等先后组织12场“品质家装”进社区市集活动,3次进驻会展中心开展家居家装博览会，累计发放补贴1.16亿元，拉动家装企业营收22.8亿元。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四、关于搭建公共服务平台助企出海的建议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区住房建设局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依托河套区位优势，联合市、区建筑装饰行业协会，积极对接香港建造业协会，带队区内建筑业企业考察香港优质项目，深度交流企业出海政策要求。区建筑装饰协会拟在河套设立深港建筑装饰企业出海服务站，为企业出海提供政策指导、人员资质认定、人才招聘服务。目前全区装饰企业年均海外合同已超2.5亿人民币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五、关于加强人才引进和培养的建议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一是积极储备装饰行业专业人才。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福田区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依托中国国际空间设计大赛这一重要平台，将每年评选的十大装饰设计师和十佳家装设计师聘为区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fill="auto"/>
          <w:lang w:val="en-US" w:eastAsia="zh-CN" w:bidi="ar-SA"/>
        </w:rPr>
        <w:t>建筑装饰设计顾问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2"/>
          <w:sz w:val="32"/>
          <w:szCs w:val="32"/>
          <w:shd w:val="clear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已储备建筑装饰人才160名；</w:t>
      </w: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二是做好装饰行业人才服务保障。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福田区始终支持装饰领域人才工作，每年修订福田英才荟政策，设置人才引进、人才培养、人才服务、行业人才专项支持等板块，对企业人才招募、及引进人才住房、医疗、教育等服务做出详细规定。同时对获得建筑工程领域国家、省各类奖项和示范项目或承建国家、省、市级实验室、工程研究中心等创新载体的辖区建设企业，给予技术团队最高15万元的支持；</w:t>
      </w: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三是组织保障性住房设计大赛。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区住房建设局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高度重视高校学生、青年自由设计师、装饰企业年轻团队发展，已在20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25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年11月面向全国开展保障房室内设计竞赛，充分挖掘潜力未来设计师。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六、关于设立专项扶持资金的建议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福田区高度重视建筑装饰产业发展，2021年，</w:t>
      </w:r>
      <w:r>
        <w:rPr>
          <w:rFonts w:hint="eastAsia" w:ascii="仿宋_GB2312" w:hAnsi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区住房建设局成为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产业主管部门，当年立即联合区文体局推出《福田区支持建筑装饰设计产业发展若干措施》，2022年起，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区住房建设局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独立制定《福田区支持建筑装饰设计建筑业发展若干措施》，设置核心竞争力支持、资质认定支持、创意设计获奖支持等扶持条款，2021年至今，已支持区内装饰企业63家，支持项目128个，支持金额超3500万元。2024年8月，国务院印发《公平竞争审查条例后》，不允许设置招商落户、购房支持、房租支持等扶持政策。目前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区住房建设局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正结合最新要求，修订产业政策，继续扶持辖区装饰企业发展。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再次感谢您对福田建筑装饰行业发展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工的关心!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深圳市</w:t>
      </w:r>
      <w:r>
        <w:rPr>
          <w:rFonts w:hint="eastAsia" w:ascii="仿宋_GB2312" w:hAnsi="仿宋_GB2312" w:eastAsia="仿宋_GB2312" w:cs="仿宋_GB2312"/>
          <w:sz w:val="32"/>
          <w:szCs w:val="32"/>
        </w:rPr>
        <w:t>福田区住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房和</w:t>
      </w:r>
      <w:r>
        <w:rPr>
          <w:rFonts w:hint="eastAsia" w:ascii="仿宋_GB2312" w:hAnsi="仿宋_GB2312" w:eastAsia="仿宋_GB2312" w:cs="仿宋_GB2312"/>
          <w:sz w:val="32"/>
          <w:szCs w:val="32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625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adjustRightInd w:val="0"/>
        <w:snapToGrid w:val="0"/>
        <w:spacing w:line="579" w:lineRule="exact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adjustRightInd w:val="0"/>
        <w:snapToGrid w:val="0"/>
        <w:spacing w:line="579" w:lineRule="exact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adjustRightInd w:val="0"/>
        <w:snapToGrid w:val="0"/>
        <w:spacing w:line="579" w:lineRule="exact"/>
      </w:pPr>
      <w:r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  <w:t>公开方式：</w:t>
      </w:r>
      <w:r>
        <w:rPr>
          <w:rFonts w:hint="eastAsia" w:ascii="仿宋_GB2312" w:hAnsi="仿宋_GB2312" w:eastAsia="仿宋_GB2312" w:cs="仿宋_GB2312"/>
          <w:b w:val="0"/>
          <w:bCs/>
          <w:snapToGrid w:val="0"/>
          <w:kern w:val="2"/>
          <w:sz w:val="32"/>
          <w:szCs w:val="32"/>
          <w:lang w:val="en-US" w:eastAsia="zh-CN" w:bidi="ar-SA"/>
        </w:rPr>
        <w:t>主动公开</w:t>
      </w:r>
    </w:p>
    <w:sectPr>
      <w:footerReference r:id="rId3" w:type="default"/>
      <w:pgSz w:w="11906" w:h="16838"/>
      <w:pgMar w:top="2098" w:right="1474" w:bottom="1984" w:left="1587" w:header="851" w:footer="1361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="仿宋_GB2312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12700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03200" tIns="0" rIns="20320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">
              <v:fill on="f" focussize="0,0"/>
              <v:stroke on="f" weight="0.5pt"/>
              <v:imagedata o:title=""/>
              <o:lock v:ext="edit" aspectratio="f"/>
              <v:textbox inset="16pt,0mm,16pt,0mm" style="mso-fit-shape-to-text:t;">
                <w:txbxContent>
                  <w:p>
                    <w:pPr>
                      <w:pStyle w:val="3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1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C1E7B"/>
    <w:rsid w:val="3F11AC8B"/>
    <w:rsid w:val="3F63A068"/>
    <w:rsid w:val="3FBF5A4C"/>
    <w:rsid w:val="4F6FB569"/>
    <w:rsid w:val="5FBFBBC6"/>
    <w:rsid w:val="6E6E4F67"/>
    <w:rsid w:val="6EFFA580"/>
    <w:rsid w:val="7BFF648D"/>
    <w:rsid w:val="7DEFEA1F"/>
    <w:rsid w:val="7DFC1E7B"/>
    <w:rsid w:val="7F1FFB64"/>
    <w:rsid w:val="7FD9ECBA"/>
    <w:rsid w:val="8FFB16BE"/>
    <w:rsid w:val="AA7B9445"/>
    <w:rsid w:val="CDF94191"/>
    <w:rsid w:val="D6FDA066"/>
    <w:rsid w:val="DEFF69F7"/>
    <w:rsid w:val="EF7BB60C"/>
    <w:rsid w:val="F275E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仿宋_GB2312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ascii="宋体" w:hAnsi="宋体"/>
      <w:sz w:val="28"/>
      <w:lang w:val="en-GB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2025-11-08T23:50:00Z</dcterms:created>
  <dc:creator>潘启洋</dc:creator>
  <cp:lastModifiedBy>任蓓</cp:lastModifiedBy>
  <dcterms:modified xsi:type="dcterms:W3CDTF">2025-12-29T17:28:11Z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4C1227CBA625F267734F11696490341E</vt:lpwstr>
  </property>
</Properties>
</file>