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深圳市福田区全域土地综合整治实施方案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（公示稿）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0" w:firstLineChars="200"/>
        <w:textAlignment w:val="auto"/>
        <w:rPr>
          <w:rFonts w:ascii="黑体" w:hAnsi="黑体" w:eastAsia="黑体" w:cs="黑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一、项目概况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t>项目名称：</w:t>
      </w:r>
      <w:r>
        <w:rPr>
          <w:rFonts w:hint="eastAsia" w:ascii="仿宋_GB2312" w:hAnsi="仿宋_GB2312" w:eastAsia="仿宋_GB2312" w:cs="仿宋_GB2312"/>
        </w:rPr>
        <w:t>深圳市福田区全域土地综合整治实施方案</w:t>
      </w:r>
      <w:r>
        <w:rPr>
          <w:rFonts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t>实施范围：</w:t>
      </w:r>
      <w:r>
        <w:rPr>
          <w:rFonts w:ascii="仿宋_GB2312" w:hAnsi="仿宋_GB2312" w:eastAsia="仿宋_GB2312" w:cs="仿宋_GB2312"/>
        </w:rPr>
        <w:t>福田区</w:t>
      </w:r>
      <w:r>
        <w:rPr>
          <w:rFonts w:hint="eastAsia" w:ascii="仿宋_GB2312" w:hAnsi="仿宋_GB2312" w:eastAsia="仿宋_GB2312" w:cs="仿宋_GB2312"/>
        </w:rPr>
        <w:t>全域</w:t>
      </w:r>
      <w:r>
        <w:rPr>
          <w:rFonts w:ascii="仿宋_GB2312" w:hAnsi="仿宋_GB2312" w:eastAsia="仿宋_GB2312" w:cs="仿宋_GB2312"/>
        </w:rPr>
        <w:t>78.66平方公里。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t>规划期限：</w:t>
      </w:r>
      <w:r>
        <w:rPr>
          <w:rFonts w:ascii="仿宋_GB2312" w:hAnsi="仿宋_GB2312" w:eastAsia="仿宋_GB2312" w:cs="仿宋_GB2312"/>
        </w:rPr>
        <w:t>2026年至2029年，</w:t>
      </w:r>
      <w:r>
        <w:rPr>
          <w:rFonts w:hint="eastAsia" w:ascii="仿宋_GB2312" w:hAnsi="仿宋_GB2312" w:eastAsia="仿宋_GB2312" w:cs="仿宋_GB2312"/>
        </w:rPr>
        <w:t>为期</w:t>
      </w:r>
      <w:r>
        <w:rPr>
          <w:rFonts w:ascii="仿宋_GB2312" w:hAnsi="仿宋_GB2312" w:eastAsia="仿宋_GB2312" w:cs="仿宋_GB2312"/>
        </w:rPr>
        <w:t>4年</w:t>
      </w:r>
      <w:r>
        <w:rPr>
          <w:rFonts w:hint="eastAsia"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二、整治目标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0" w:firstLineChars="200"/>
        <w:textAlignment w:val="auto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作为超大城市中心区，福田区坚持以国土空间规划为引领，因地制宜系统推进全域土地综合整治。聚焦空间格局重塑，以优化耕地布局促进集中连片，以盘活低效空间促进集约高效；依托山海连城生态本底持续提升品质，促进人与自然和谐共生；统筹完善公共服务与基础设施，全面优化人居环境。</w:t>
      </w:r>
      <w:r>
        <w:rPr>
          <w:rFonts w:hint="eastAsia" w:ascii="仿宋_GB2312" w:hAnsi="仿宋_GB2312" w:eastAsia="仿宋_GB2312" w:cs="仿宋_GB2312"/>
        </w:rPr>
        <w:t>努力</w:t>
      </w:r>
      <w:r>
        <w:rPr>
          <w:rFonts w:ascii="仿宋_GB2312" w:hAnsi="仿宋_GB2312" w:eastAsia="仿宋_GB2312" w:cs="仿宋_GB2312"/>
        </w:rPr>
        <w:t>打造高度城</w:t>
      </w:r>
      <w:bookmarkStart w:id="0" w:name="_GoBack"/>
      <w:bookmarkEnd w:id="0"/>
      <w:r>
        <w:rPr>
          <w:rFonts w:ascii="仿宋_GB2312" w:hAnsi="仿宋_GB2312" w:eastAsia="仿宋_GB2312" w:cs="仿宋_GB2312"/>
        </w:rPr>
        <w:t>市化地区全域土地综合整治示范样板</w:t>
      </w:r>
      <w:r>
        <w:rPr>
          <w:rFonts w:hint="eastAsia"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0" w:firstLineChars="200"/>
        <w:textAlignment w:val="auto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三、工作内容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b/>
          <w:bCs/>
        </w:rPr>
        <w:t>农用地整治：</w:t>
      </w:r>
      <w:r>
        <w:rPr>
          <w:rFonts w:hint="eastAsia" w:ascii="仿宋_GB2312" w:hAnsi="仿宋_GB2312" w:eastAsia="仿宋_GB2312" w:cs="仿宋_GB2312"/>
        </w:rPr>
        <w:t>计划</w:t>
      </w:r>
      <w:r>
        <w:rPr>
          <w:rFonts w:ascii="仿宋_GB2312" w:hAnsi="仿宋_GB2312" w:eastAsia="仿宋_GB2312" w:cs="仿宋_GB2312"/>
        </w:rPr>
        <w:t>实施1项农用地整治，融合“得福于田”历史文脉，优化耕地布局，实现耕地保护</w:t>
      </w:r>
      <w:r>
        <w:rPr>
          <w:rFonts w:hint="eastAsia" w:ascii="仿宋_GB2312" w:hAnsi="仿宋_GB2312" w:eastAsia="仿宋_GB2312" w:cs="仿宋_GB2312"/>
        </w:rPr>
        <w:t>、</w:t>
      </w:r>
      <w:r>
        <w:rPr>
          <w:rFonts w:ascii="仿宋_GB2312" w:hAnsi="仿宋_GB2312" w:eastAsia="仿宋_GB2312" w:cs="仿宋_GB2312"/>
        </w:rPr>
        <w:t>科普教育</w:t>
      </w:r>
      <w:r>
        <w:rPr>
          <w:rFonts w:hint="eastAsia" w:ascii="仿宋_GB2312" w:hAnsi="仿宋_GB2312" w:eastAsia="仿宋_GB2312" w:cs="仿宋_GB2312"/>
        </w:rPr>
        <w:t>与生态休闲功能的</w:t>
      </w:r>
      <w:r>
        <w:rPr>
          <w:rFonts w:ascii="仿宋_GB2312" w:hAnsi="仿宋_GB2312" w:eastAsia="仿宋_GB2312" w:cs="仿宋_GB2312"/>
        </w:rPr>
        <w:t>有机统一</w:t>
      </w:r>
      <w:r>
        <w:rPr>
          <w:rFonts w:hint="eastAsia"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b/>
          <w:bCs/>
        </w:rPr>
        <w:t>建设用地整理：</w:t>
      </w:r>
      <w:r>
        <w:rPr>
          <w:rFonts w:ascii="仿宋_GB2312" w:hAnsi="仿宋_GB2312" w:eastAsia="仿宋_GB2312" w:cs="仿宋_GB2312"/>
        </w:rPr>
        <w:t>安排6项建设用地整理，通过精细化管控推动低效用地改造，提升空间集约利用与品质</w:t>
      </w:r>
      <w:r>
        <w:rPr>
          <w:rFonts w:hint="eastAsia"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b/>
          <w:bCs/>
        </w:rPr>
        <w:t>产业导入：</w:t>
      </w:r>
      <w:r>
        <w:rPr>
          <w:rFonts w:ascii="仿宋_GB2312" w:hAnsi="仿宋_GB2312" w:eastAsia="仿宋_GB2312" w:cs="仿宋_GB2312"/>
        </w:rPr>
        <w:t>结合盘活空间资源，精准引入3项产业项目，优化产业布局、拓展空间、增强产业体系竞争力</w:t>
      </w:r>
      <w:r>
        <w:rPr>
          <w:rFonts w:hint="eastAsia"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b/>
          <w:bCs/>
        </w:rPr>
        <w:t>生态保护修复：</w:t>
      </w:r>
      <w:r>
        <w:rPr>
          <w:rFonts w:hint="eastAsia" w:ascii="仿宋_GB2312" w:hAnsi="仿宋_GB2312" w:eastAsia="仿宋_GB2312" w:cs="仿宋_GB2312"/>
        </w:rPr>
        <w:t>聚焦打造人与自然和谐共生的生态都市标杆，</w:t>
      </w:r>
      <w:r>
        <w:rPr>
          <w:rFonts w:ascii="仿宋_GB2312" w:hAnsi="仿宋_GB2312" w:eastAsia="仿宋_GB2312" w:cs="仿宋_GB2312"/>
        </w:rPr>
        <w:t>实施7项生态修复</w:t>
      </w:r>
      <w:r>
        <w:rPr>
          <w:rFonts w:hint="eastAsia" w:ascii="仿宋_GB2312" w:hAnsi="仿宋_GB2312" w:eastAsia="仿宋_GB2312" w:cs="仿宋_GB2312"/>
        </w:rPr>
        <w:t>项目</w:t>
      </w:r>
      <w:r>
        <w:rPr>
          <w:rFonts w:ascii="仿宋_GB2312" w:hAnsi="仿宋_GB2312" w:eastAsia="仿宋_GB2312" w:cs="仿宋_GB2312"/>
        </w:rPr>
        <w:t>，提升城市生态品质</w:t>
      </w:r>
      <w:r>
        <w:rPr>
          <w:rFonts w:hint="eastAsia"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2" w:firstLineChars="200"/>
        <w:textAlignment w:val="auto"/>
        <w:rPr>
          <w:rFonts w:ascii="楷体_GB2312" w:hAnsi="楷体_GB2312" w:eastAsia="楷体_GB2312" w:cs="楷体_GB2312"/>
          <w:b/>
          <w:bCs/>
        </w:rPr>
      </w:pPr>
      <w:r>
        <w:rPr>
          <w:rFonts w:ascii="楷体_GB2312" w:hAnsi="楷体_GB2312" w:eastAsia="楷体_GB2312" w:cs="楷体_GB2312"/>
          <w:b/>
          <w:bCs/>
        </w:rPr>
        <w:t>城乡风貌及人居环境整治</w:t>
      </w:r>
      <w:r>
        <w:rPr>
          <w:rFonts w:hint="eastAsia" w:ascii="楷体_GB2312" w:hAnsi="楷体_GB2312" w:eastAsia="楷体_GB2312" w:cs="楷体_GB2312"/>
          <w:b/>
          <w:bCs/>
        </w:rPr>
        <w:t>：</w:t>
      </w:r>
      <w:r>
        <w:rPr>
          <w:rFonts w:hint="eastAsia" w:ascii="仿宋_GB2312" w:hAnsi="仿宋_GB2312" w:eastAsia="仿宋_GB2312" w:cs="仿宋_GB2312"/>
        </w:rPr>
        <w:t>牟定“首善福田”的目标，</w:t>
      </w:r>
      <w:r>
        <w:rPr>
          <w:rFonts w:ascii="仿宋_GB2312" w:hAnsi="仿宋_GB2312" w:eastAsia="仿宋_GB2312" w:cs="仿宋_GB2312"/>
        </w:rPr>
        <w:t>安排9项风貌提升类项目，</w:t>
      </w:r>
      <w:r>
        <w:rPr>
          <w:rFonts w:hint="eastAsia" w:ascii="仿宋_GB2312" w:hAnsi="仿宋_GB2312" w:eastAsia="仿宋_GB2312" w:cs="仿宋_GB2312"/>
        </w:rPr>
        <w:t>提升福田区</w:t>
      </w:r>
      <w:r>
        <w:rPr>
          <w:rFonts w:ascii="仿宋_GB2312" w:hAnsi="仿宋_GB2312" w:eastAsia="仿宋_GB2312" w:cs="仿宋_GB2312"/>
        </w:rPr>
        <w:t>服务</w:t>
      </w:r>
      <w:r>
        <w:rPr>
          <w:rFonts w:hint="eastAsia" w:ascii="仿宋_GB2312" w:hAnsi="仿宋_GB2312" w:eastAsia="仿宋_GB2312" w:cs="仿宋_GB2312"/>
        </w:rPr>
        <w:t>能级</w:t>
      </w:r>
      <w:r>
        <w:rPr>
          <w:rFonts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0" w:firstLineChars="200"/>
        <w:textAlignment w:val="auto"/>
        <w:rPr>
          <w:rFonts w:ascii="仿宋_GB2312" w:hAnsi="仿宋_GB2312" w:eastAsia="仿宋_GB2312" w:cs="仿宋_GB231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ascii="仿宋_GB2312" w:hAnsi="仿宋_GB2312" w:eastAsia="仿宋_GB2312" w:cs="仿宋_GB2312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jc w:val="center"/>
        <w:textAlignment w:val="auto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10692130" cy="7563485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7920990</wp:posOffset>
                </wp:positionH>
                <wp:positionV relativeFrom="paragraph">
                  <wp:posOffset>-643255</wp:posOffset>
                </wp:positionV>
                <wp:extent cx="371475" cy="339725"/>
                <wp:effectExtent l="0" t="0" r="9525" b="317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8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23.7pt;margin-top:-50.65pt;height:26.75pt;width:29.25pt;z-index:251659264;mso-width-relative:page;mso-height-relative:page;" fillcolor="#FFFFFF" filled="t" stroked="f" coordsize="21600,21600" o:gfxdata="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FgAAAGRycy9QSwECFAAUAAAACACHTuJAiVBN7toAAAAOAQAA&#10;DwAAAAAAAAABACAAAAA4AAAAZHJzL2Rvd25yZXYueG1sUEsBAhQAFAAAAAgAh07iQA+3RfM6AgAA&#10;UwQAAA4AAAAAAAAAAQAgAAAAPwEAAGRycy9lMm9Eb2MueG1sUEsFBgAAAAAGAAYAWQEAAOsFAAAA&#10;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t xml:space="preserve"> 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059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方正楷体_GBK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NlMTZjYTY4ZGZhMDNjOTdmMmRlOTEyYmU2MWM0OTIifQ=="/>
  </w:docVars>
  <w:rsids>
    <w:rsidRoot w:val="00436A14"/>
    <w:rsid w:val="000B3BC3"/>
    <w:rsid w:val="00105319"/>
    <w:rsid w:val="001B4AAD"/>
    <w:rsid w:val="003330DC"/>
    <w:rsid w:val="0038043E"/>
    <w:rsid w:val="003B1F79"/>
    <w:rsid w:val="00436A14"/>
    <w:rsid w:val="00473D21"/>
    <w:rsid w:val="00484672"/>
    <w:rsid w:val="004D4459"/>
    <w:rsid w:val="004F4711"/>
    <w:rsid w:val="00502769"/>
    <w:rsid w:val="00640481"/>
    <w:rsid w:val="007162F9"/>
    <w:rsid w:val="00717315"/>
    <w:rsid w:val="007476B7"/>
    <w:rsid w:val="00775DFE"/>
    <w:rsid w:val="007B2147"/>
    <w:rsid w:val="007E16FF"/>
    <w:rsid w:val="007F337F"/>
    <w:rsid w:val="00823D7C"/>
    <w:rsid w:val="00826BE5"/>
    <w:rsid w:val="0096673B"/>
    <w:rsid w:val="00970321"/>
    <w:rsid w:val="00A67B3D"/>
    <w:rsid w:val="00A84F5E"/>
    <w:rsid w:val="00AA00FB"/>
    <w:rsid w:val="00AA67B5"/>
    <w:rsid w:val="00B02DC2"/>
    <w:rsid w:val="00B87009"/>
    <w:rsid w:val="00B95B4A"/>
    <w:rsid w:val="00CA5ABB"/>
    <w:rsid w:val="00CF57AD"/>
    <w:rsid w:val="00D24215"/>
    <w:rsid w:val="00D559C3"/>
    <w:rsid w:val="00DF6591"/>
    <w:rsid w:val="00E02812"/>
    <w:rsid w:val="00E36F82"/>
    <w:rsid w:val="00E42F30"/>
    <w:rsid w:val="00F257E6"/>
    <w:rsid w:val="00F3680B"/>
    <w:rsid w:val="00FB56E3"/>
    <w:rsid w:val="5FFB584F"/>
    <w:rsid w:val="68B007B0"/>
    <w:rsid w:val="68FBCFAF"/>
    <w:rsid w:val="75BF262E"/>
    <w:rsid w:val="CF9A9972"/>
    <w:rsid w:val="FE3B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360" w:lineRule="auto"/>
      <w:jc w:val="both"/>
    </w:pPr>
    <w:rPr>
      <w:rFonts w:ascii="宋体" w:hAnsi="宋体" w:eastAsia="宋体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宋体" w:hAnsi="宋体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79</Words>
  <Characters>452</Characters>
  <Lines>3</Lines>
  <Paragraphs>1</Paragraphs>
  <TotalTime>132</TotalTime>
  <ScaleCrop>false</ScaleCrop>
  <LinksUpToDate>false</LinksUpToDate>
  <CharactersWithSpaces>530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2024-08-10T08:47:00Z</dcterms:created>
  <dc:creator>UPDISLand</dc:creator>
  <cp:lastModifiedBy>user</cp:lastModifiedBy>
  <dcterms:modified xsi:type="dcterms:W3CDTF">2026-02-03T10:05:53Z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ICV">
    <vt:lpwstr>FA0E8C534C314092BC17EF8420C6EC0A_13</vt:lpwstr>
  </property>
</Properties>
</file>