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福田英才荟人才公共服务平台支持申请指南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编制</w:t>
      </w:r>
      <w:r>
        <w:rPr>
          <w:rFonts w:hint="eastAsia" w:ascii="黑体" w:hAnsi="黑体" w:eastAsia="黑体" w:cs="黑体"/>
          <w:sz w:val="32"/>
          <w:szCs w:val="32"/>
        </w:rPr>
        <w:t>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《关于实施福田英才荟政策的若干措施(2025)》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政策内容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支持企业（机构）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福田</w:t>
      </w:r>
      <w:r>
        <w:rPr>
          <w:rFonts w:hint="eastAsia" w:ascii="仿宋_GB2312" w:eastAsia="仿宋_GB2312"/>
          <w:sz w:val="32"/>
          <w:szCs w:val="32"/>
          <w:lang w:eastAsia="zh-CN"/>
        </w:rPr>
        <w:t>区重点产业园区、创新载体和科研机构等打造人才公共服务平台，为人才提供政策讲解、产品推介、资源链接等高品质配套服务。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符合条件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被</w:t>
      </w:r>
      <w:r>
        <w:rPr>
          <w:rFonts w:hint="eastAsia" w:ascii="仿宋_GB2312" w:eastAsia="仿宋_GB2312"/>
          <w:sz w:val="32"/>
          <w:szCs w:val="32"/>
          <w:lang w:eastAsia="zh-CN"/>
        </w:rPr>
        <w:t>认定为优质人才公共服务平台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，每年给予运营主体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eastAsia="仿宋_GB2312"/>
          <w:sz w:val="32"/>
          <w:szCs w:val="32"/>
          <w:lang w:eastAsia="zh-CN"/>
        </w:rPr>
        <w:t>30万元支持。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在福田</w:t>
      </w:r>
      <w:r>
        <w:rPr>
          <w:rFonts w:hint="eastAsia" w:ascii="仿宋_GB2312" w:eastAsia="仿宋_GB2312"/>
          <w:sz w:val="32"/>
          <w:szCs w:val="32"/>
          <w:lang w:eastAsia="zh-CN"/>
        </w:rPr>
        <w:t>区重点产业园区、创新载体和科研机构等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打造</w:t>
      </w:r>
      <w:r>
        <w:rPr>
          <w:rFonts w:hint="eastAsia" w:ascii="仿宋_GB2312" w:eastAsia="仿宋_GB2312"/>
          <w:sz w:val="32"/>
          <w:szCs w:val="32"/>
          <w:lang w:eastAsia="zh-CN"/>
        </w:rPr>
        <w:t>人才公共服务平台的企业（机构）；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（二）需具备</w:t>
      </w:r>
      <w:r>
        <w:rPr>
          <w:rFonts w:hint="eastAsia" w:ascii="仿宋_GB2312" w:eastAsia="仿宋_GB2312"/>
          <w:sz w:val="32"/>
          <w:szCs w:val="32"/>
          <w:lang w:eastAsia="zh-CN"/>
        </w:rPr>
        <w:t>成熟运营机制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，人员数量充足并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配备人才服务专员；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能提供</w:t>
      </w:r>
      <w:r>
        <w:rPr>
          <w:rFonts w:hint="eastAsia" w:ascii="仿宋_GB2312" w:eastAsia="仿宋_GB2312"/>
          <w:sz w:val="32"/>
          <w:szCs w:val="32"/>
          <w:lang w:eastAsia="zh-CN"/>
        </w:rPr>
        <w:t>满足人才需求的活动场地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  <w:lang w:eastAsia="zh-CN"/>
        </w:rPr>
        <w:t>系列高品质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</w:t>
      </w:r>
      <w:r>
        <w:rPr>
          <w:rFonts w:hint="eastAsia" w:ascii="仿宋_GB2312" w:eastAsia="仿宋_GB2312"/>
          <w:sz w:val="32"/>
          <w:szCs w:val="32"/>
          <w:lang w:eastAsia="zh-CN"/>
        </w:rPr>
        <w:t>配套服务。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（一）打造平台支持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对完成打造并通过福田区人才工作局备案的人才公共服务平台，给予运营主体5万元一次性支持。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（二）优质平台认定支持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福田区人才工作局每年从平台场地建设、平台运营效果、服务能力等维度进行评分并认定优质人才公共服务平台，满分110分（含加分项，详见附件1）。对获90分以上、80分以上、70分以上的优质人才公共服务平台运营主体给予25万、15万、5万元一次性支持。每年最多支持3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（一）人才公共服务平台备案</w:t>
      </w:r>
    </w:p>
    <w:tbl>
      <w:tblPr>
        <w:tblStyle w:val="1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599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材料形式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《福田区人才公共服务平台备案申请表》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（附件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交原件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（签字盖公章）</w:t>
            </w: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优质人才公共服务平台支持</w:t>
      </w:r>
    </w:p>
    <w:tbl>
      <w:tblPr>
        <w:tblStyle w:val="1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599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材料形式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人才公共服务平台年度运营报告及相关佐证材料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交原件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优质人才公共服务平台认定标准评分表（附件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eastAsia" w:ascii="黑体" w:hAnsi="黑体" w:eastAsia="仿宋_GB2312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原件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盖公章）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" w:eastAsia="zh-CN" w:bidi="ar-SA"/>
        </w:rPr>
        <w:t>（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" w:eastAsia="zh-CN" w:bidi="ar-SA"/>
        </w:rPr>
        <w:t>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人才公共服务平台备案程序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申请：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申请单位在福田区企业服务平台（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  <w:t>https://qfzx.szft.gov.cn/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）上按清单上传相关材料。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审核：福田区人才工作局采取查检材料、现场考察等多种形式对备案材料进行审核，不符合备案条件的不予受理，申报材料不足以证明有关事实的通知申请单位补充材料。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.公示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：福田区人才工作局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同意备案的，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在福田政府在线公示5个工作日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拨款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人才工作局负责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对公示后无异议或异议不成立的申请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拨付</w:t>
      </w:r>
      <w:r>
        <w:rPr>
          <w:rFonts w:hint="eastAsia" w:ascii="仿宋_GB2312" w:hAnsi="仿宋_GB2312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" w:eastAsia="zh-CN" w:bidi="ar-SA"/>
        </w:rPr>
        <w:t>（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" w:eastAsia="zh-CN" w:bidi="ar-SA"/>
        </w:rPr>
        <w:t>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优质人才公共服务平台支持程序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sz w:val="32"/>
          <w:szCs w:val="32"/>
        </w:rPr>
        <w:t>申请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申请单位在福田区企业服务平台（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https://qfzx.szft.gov.cn/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）上按清单上传相关材料。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/>
          <w:sz w:val="32"/>
          <w:szCs w:val="32"/>
        </w:rPr>
        <w:t>审核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32"/>
        </w:rPr>
        <w:t>福田区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人才工作局审核材料</w:t>
      </w:r>
      <w:r>
        <w:rPr>
          <w:rFonts w:hint="eastAsia" w:ascii="仿宋_GB2312" w:hAnsi="仿宋_GB2312" w:eastAsia="仿宋_GB2312"/>
          <w:sz w:val="32"/>
          <w:szCs w:val="32"/>
        </w:rPr>
        <w:t>确认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，申报材料不足以证明有关事实的通知申请单位补充材料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/>
          <w:sz w:val="32"/>
          <w:szCs w:val="32"/>
        </w:rPr>
        <w:t>公示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32"/>
        </w:rPr>
        <w:t>福田区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人才工作局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/>
          <w:sz w:val="32"/>
          <w:szCs w:val="32"/>
          <w:highlight w:val="none"/>
          <w:lang w:eastAsia="zh-CN"/>
        </w:rPr>
        <w:t>符合支持条件的</w:t>
      </w:r>
      <w:r>
        <w:rPr>
          <w:rFonts w:hint="eastAsia" w:ascii="仿宋_GB2312" w:hAnsi="仿宋_GB2312" w:eastAsia="仿宋_GB2312"/>
          <w:sz w:val="32"/>
          <w:szCs w:val="32"/>
        </w:rPr>
        <w:t>在福田政府在线公示5个工作日。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/>
          <w:sz w:val="32"/>
          <w:szCs w:val="32"/>
        </w:rPr>
        <w:t>拨款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32"/>
        </w:rPr>
        <w:t>福田区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人才工作局负责</w:t>
      </w:r>
      <w:r>
        <w:rPr>
          <w:rFonts w:hint="eastAsia" w:ascii="仿宋_GB2312" w:hAnsi="仿宋_GB2312" w:eastAsia="仿宋_GB2312"/>
          <w:sz w:val="32"/>
          <w:szCs w:val="32"/>
        </w:rPr>
        <w:t>对公示后无异议或异议不成立的申请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/>
          <w:sz w:val="32"/>
          <w:szCs w:val="32"/>
        </w:rPr>
        <w:t>拨付</w:t>
      </w:r>
      <w:r>
        <w:rPr>
          <w:rFonts w:hint="eastAsia" w:ascii="仿宋_GB2312" w:hAnsi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/>
          <w:sz w:val="32"/>
          <w:szCs w:val="32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受理时间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自印发之日起,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本条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款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常年</w:t>
      </w:r>
      <w:r>
        <w:rPr>
          <w:rFonts w:hint="eastAsia" w:ascii="仿宋_GB2312" w:hAnsi="仿宋_GB2312" w:eastAsia="仿宋_GB2312"/>
          <w:sz w:val="32"/>
          <w:szCs w:val="32"/>
          <w:highlight w:val="none"/>
          <w:u w:val="none"/>
          <w:lang w:val="en-US" w:eastAsia="zh-CN"/>
        </w:rPr>
        <w:t>受理</w:t>
      </w:r>
      <w:r>
        <w:rPr>
          <w:rFonts w:hint="eastAsia" w:ascii="仿宋_GB2312" w:hAnsi="仿宋_GB2312" w:eastAsia="仿宋_GB2312"/>
          <w:sz w:val="32"/>
          <w:szCs w:val="32"/>
          <w:highlight w:val="none"/>
          <w:u w:val="none"/>
        </w:rPr>
        <w:t>。奖励集中组织发放，原则上每季度发放一次，</w:t>
      </w:r>
      <w:r>
        <w:rPr>
          <w:rFonts w:hint="eastAsia" w:ascii="仿宋_GB2312" w:hAnsi="仿宋_GB2312" w:eastAsia="仿宋_GB2312"/>
          <w:sz w:val="32"/>
          <w:szCs w:val="32"/>
          <w:highlight w:val="none"/>
          <w:u w:val="none"/>
          <w:lang w:eastAsia="zh-CN"/>
        </w:rPr>
        <w:t>于</w:t>
      </w:r>
      <w:r>
        <w:rPr>
          <w:rFonts w:hint="eastAsia" w:ascii="仿宋_GB2312" w:hAnsi="仿宋_GB2312" w:eastAsia="仿宋_GB2312"/>
          <w:sz w:val="32"/>
          <w:szCs w:val="32"/>
          <w:highlight w:val="none"/>
          <w:u w:val="none"/>
        </w:rPr>
        <w:t>每个季度</w:t>
      </w:r>
      <w:r>
        <w:rPr>
          <w:rFonts w:hint="eastAsia" w:ascii="仿宋_GB2312" w:hAnsi="仿宋_GB2312" w:eastAsia="仿宋_GB2312"/>
          <w:sz w:val="32"/>
          <w:szCs w:val="32"/>
          <w:highlight w:val="none"/>
          <w:u w:val="none"/>
          <w:lang w:val="en-US" w:eastAsia="zh-CN"/>
        </w:rPr>
        <w:t>前</w:t>
      </w:r>
      <w:r>
        <w:rPr>
          <w:rFonts w:hint="eastAsia" w:ascii="仿宋_GB2312" w:hAnsi="仿宋_GB2312" w:eastAsia="仿宋_GB2312"/>
          <w:sz w:val="32"/>
          <w:szCs w:val="32"/>
          <w:highlight w:val="none"/>
          <w:u w:val="none"/>
        </w:rPr>
        <w:t>20个工作日内办结。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本指南项目受年度财政预算限制,支持标准存在调整可能。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申报单位及申报人对申报材料的真实性和准确性负责,如果出现弄虚作假及其它违规申报行为,追回本政策支持资金,单位及个人五年内不得申报福田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区人才</w:t>
      </w:r>
      <w:r>
        <w:rPr>
          <w:rFonts w:hint="eastAsia" w:ascii="仿宋_GB2312" w:hAnsi="仿宋_GB2312" w:eastAsia="仿宋_GB2312"/>
          <w:sz w:val="32"/>
          <w:szCs w:val="32"/>
        </w:rPr>
        <w:t>政策支持。触犯法律的,依法追究法律责任。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本指南有效期为自印发之日起,至202</w:t>
      </w:r>
      <w:r>
        <w:rPr>
          <w:rFonts w:hint="eastAsia" w:ascii="仿宋_GB2312" w:hAnsi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本指南由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/>
          <w:sz w:val="32"/>
          <w:szCs w:val="32"/>
        </w:rPr>
        <w:t>福田区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人才工作局</w:t>
      </w:r>
      <w:r>
        <w:rPr>
          <w:rFonts w:hint="eastAsia" w:ascii="仿宋_GB2312" w:hAnsi="仿宋_GB2312" w:eastAsia="仿宋_GB2312"/>
          <w:sz w:val="32"/>
          <w:szCs w:val="32"/>
        </w:rPr>
        <w:t>负责解释,咨询电话: 0755-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82918962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br w:type="page"/>
      </w:r>
    </w:p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86" w:lineRule="exact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福田区人才公共服务平台备案申请表</w:t>
      </w:r>
    </w:p>
    <w:tbl>
      <w:tblPr>
        <w:tblStyle w:val="12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824"/>
        <w:gridCol w:w="2385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平台名称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平台面积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平台地址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平台空间产权性质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购置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工作人员数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名，其中专职   名，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人才服务专员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(平台运营基本情况、主要特色及运营目标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，不限字数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（需随表附人才公共服务平台运营方案，内容包含但不限于场地设计、主要功能、人员安排、活动计划等）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本单位对申请材料真实性、有效性、完整性负责，并承诺无犯罪和恶意欠薪等严重违法行为，否则退回已获资金并承担相应法律责任，5年内不得申请福田区人才政策支持。</w:t>
            </w:r>
          </w:p>
          <w:p>
            <w:pPr>
              <w:spacing w:line="240" w:lineRule="auto"/>
              <w:ind w:firstLine="0" w:firstLineChars="0"/>
              <w:rPr>
                <w:rFonts w:hint="eastAsia" w:eastAsia="宋体" w:cs="Times New Roman"/>
                <w:sz w:val="21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法人代表（签名）：</w:t>
            </w: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01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主管单位意见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hint="eastAsia" w:eastAsia="宋体" w:cs="Times New Roman"/>
                <w:sz w:val="21"/>
                <w:lang w:eastAsia="zh-CN"/>
              </w:rPr>
            </w:pP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bidi w:val="0"/>
              <w:spacing w:line="240" w:lineRule="auto"/>
              <w:ind w:firstLine="0" w:firstLineChars="0"/>
              <w:rPr>
                <w:rFonts w:hint="eastAsia" w:eastAsia="宋体" w:cs="Times New Roman"/>
                <w:sz w:val="21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 xml:space="preserve">     </w:t>
            </w: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优质人才公共服务平台认定标准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评分表</w:t>
      </w:r>
    </w:p>
    <w:tbl>
      <w:tblPr>
        <w:tblStyle w:val="12"/>
        <w:tblW w:w="10240" w:type="dxa"/>
        <w:tblInd w:w="-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644"/>
        <w:gridCol w:w="3739"/>
        <w:gridCol w:w="1560"/>
        <w:gridCol w:w="965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自评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场地建设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20分）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平台主体建筑面积（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100平方米以上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50-100平方米（含）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配套服务场地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1000平方米以上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500-1000平方米（含）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100-500平方米（含）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人才元素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平台运营效果（最高55分）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人才引进类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协助接洽拟引进高端人才或提供高端人才线索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1-3分/人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人才培育类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举办具备国家、省级影响力或行业影响力类活动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5分/场次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举办高水平人才研修、跨界交流、政策宣讲类活动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3分/场次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举办市区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有关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部门指定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活动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3分/场次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对参与度高、较高的可分别获得2、1.5倍得分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人才服务类（提供3种人才服务起得分）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项目型服务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每服务1000人次得5分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5分/1000人次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资源型服务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每服务200人次得5分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5分/200人次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人才宣传类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在全网媒体平台发布人才宣传图文、视频等，阅读量每5万人次得3分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3分/5万人次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服务能力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人才服务评价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是否能专业、有效解决人才需求；对人才政策、人才发展所需是否了解；响应人才需求、对接政府部门等是否迅速及时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服务典型案例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服务案例是否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具有示范效应，可推广可复制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服务专业性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服务记录、制度、流程、指南等是否完善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突出特色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（加分项）</w:t>
            </w:r>
          </w:p>
        </w:tc>
        <w:tc>
          <w:tcPr>
            <w:tcW w:w="53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是否取得上级有关部门荣誉表彰、颁证授牌等突出成果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1.项目型服务指不具排他性的服务，资源型服务指具备排他性的服务。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right="0" w:rightChars="0" w:firstLine="48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 w:cs="Times New Roman"/>
          <w:sz w:val="24"/>
          <w:szCs w:val="24"/>
          <w:lang w:eastAsia="zh-CN"/>
        </w:rPr>
        <w:t>评价指标中涉及累计数的，时间范围均</w:t>
      </w:r>
      <w:bookmarkStart w:id="0" w:name="_GoBack"/>
      <w:bookmarkEnd w:id="0"/>
      <w:r>
        <w:rPr>
          <w:rFonts w:hint="eastAsia" w:ascii="仿宋_GB2312" w:eastAsia="仿宋_GB2312" w:cs="Times New Roman"/>
          <w:sz w:val="24"/>
          <w:szCs w:val="24"/>
          <w:lang w:eastAsia="zh-CN"/>
        </w:rPr>
        <w:t>为材料提交之日起前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12个月。</w:t>
      </w:r>
    </w:p>
    <w:sectPr>
      <w:footerReference r:id="rId5" w:type="default"/>
      <w:pgSz w:w="12240" w:h="15840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oaYJL0wAAAAUBAAAPAAAAAAAAAAEAIAAAADgAAABkcnMvZG93bnJldi54bWxQ&#10;SwECFAAUAAAACACHTuJAeGNmzeYBAADIAwAADgAAAAAAAAABACAAAAA4AQAAZHJzL2Uyb0RvYy54&#10;bWxQSwUGAAAAAAYABgBZAQAAk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2F2138"/>
    <w:rsid w:val="12FEE94C"/>
    <w:rsid w:val="1775A552"/>
    <w:rsid w:val="1A9D2CD1"/>
    <w:rsid w:val="1DDC687D"/>
    <w:rsid w:val="1F5F8E5E"/>
    <w:rsid w:val="25ED154B"/>
    <w:rsid w:val="269D200A"/>
    <w:rsid w:val="2BBFBEF7"/>
    <w:rsid w:val="2BF6555F"/>
    <w:rsid w:val="2E6E9737"/>
    <w:rsid w:val="35F7C17D"/>
    <w:rsid w:val="36AA65D4"/>
    <w:rsid w:val="36D9DF7E"/>
    <w:rsid w:val="389D15D2"/>
    <w:rsid w:val="3ABC8D6C"/>
    <w:rsid w:val="3DFCE0FB"/>
    <w:rsid w:val="3ECFB565"/>
    <w:rsid w:val="3EDB524D"/>
    <w:rsid w:val="3FDDEAE1"/>
    <w:rsid w:val="3FEC1A72"/>
    <w:rsid w:val="575FBC78"/>
    <w:rsid w:val="5DBD122E"/>
    <w:rsid w:val="5DFAF72C"/>
    <w:rsid w:val="5EEE3740"/>
    <w:rsid w:val="5FEF08DB"/>
    <w:rsid w:val="5FFFA9EF"/>
    <w:rsid w:val="63C601EE"/>
    <w:rsid w:val="67EDAE3F"/>
    <w:rsid w:val="6A52116D"/>
    <w:rsid w:val="6F2C260A"/>
    <w:rsid w:val="6FFD6480"/>
    <w:rsid w:val="74FD1AAC"/>
    <w:rsid w:val="757757F2"/>
    <w:rsid w:val="75F3FDA7"/>
    <w:rsid w:val="7797ECAF"/>
    <w:rsid w:val="779B8EB5"/>
    <w:rsid w:val="77FBC303"/>
    <w:rsid w:val="78B9F19F"/>
    <w:rsid w:val="78FE137C"/>
    <w:rsid w:val="79FF877D"/>
    <w:rsid w:val="7AD6FB93"/>
    <w:rsid w:val="7BE96311"/>
    <w:rsid w:val="7BEFD9D3"/>
    <w:rsid w:val="7BFB61ED"/>
    <w:rsid w:val="7DBF1780"/>
    <w:rsid w:val="7DD71F37"/>
    <w:rsid w:val="7DEC50EE"/>
    <w:rsid w:val="7DFD7ABD"/>
    <w:rsid w:val="7E7725B5"/>
    <w:rsid w:val="7ED505D7"/>
    <w:rsid w:val="7EDD304D"/>
    <w:rsid w:val="7F232B17"/>
    <w:rsid w:val="7F23DA0D"/>
    <w:rsid w:val="7F63EC37"/>
    <w:rsid w:val="7F736A5E"/>
    <w:rsid w:val="7F7FE65A"/>
    <w:rsid w:val="7FDF4263"/>
    <w:rsid w:val="7FE3BD11"/>
    <w:rsid w:val="7FED8377"/>
    <w:rsid w:val="7FF24299"/>
    <w:rsid w:val="7FF958E8"/>
    <w:rsid w:val="7FFF3A6E"/>
    <w:rsid w:val="7FFF8222"/>
    <w:rsid w:val="7FFFCC62"/>
    <w:rsid w:val="91B6A512"/>
    <w:rsid w:val="95FB3DD1"/>
    <w:rsid w:val="9BFBDD35"/>
    <w:rsid w:val="ABDF3C7B"/>
    <w:rsid w:val="AF8A99AE"/>
    <w:rsid w:val="BBD857E3"/>
    <w:rsid w:val="BBEEDB70"/>
    <w:rsid w:val="BDFDBDDE"/>
    <w:rsid w:val="BEBD8B57"/>
    <w:rsid w:val="BF6F3F84"/>
    <w:rsid w:val="BF7D500F"/>
    <w:rsid w:val="BFCF62A9"/>
    <w:rsid w:val="BFF9C0B3"/>
    <w:rsid w:val="BFFD557C"/>
    <w:rsid w:val="CBFBCB40"/>
    <w:rsid w:val="CFF70047"/>
    <w:rsid w:val="D5FAC434"/>
    <w:rsid w:val="D5FD0BC8"/>
    <w:rsid w:val="D5FD7FD1"/>
    <w:rsid w:val="D97EB992"/>
    <w:rsid w:val="DCEF7561"/>
    <w:rsid w:val="DD5BDD36"/>
    <w:rsid w:val="DFCE7A0F"/>
    <w:rsid w:val="DFE4F655"/>
    <w:rsid w:val="E5AE0A61"/>
    <w:rsid w:val="E6ED6059"/>
    <w:rsid w:val="E7D6D38E"/>
    <w:rsid w:val="E7D93370"/>
    <w:rsid w:val="E7DBB689"/>
    <w:rsid w:val="E7EBD119"/>
    <w:rsid w:val="EBBBF387"/>
    <w:rsid w:val="EDFB9F7C"/>
    <w:rsid w:val="EEBF18D7"/>
    <w:rsid w:val="EF7ADF15"/>
    <w:rsid w:val="EF7F9292"/>
    <w:rsid w:val="EFDB6013"/>
    <w:rsid w:val="EFEF3A9F"/>
    <w:rsid w:val="F0FFB002"/>
    <w:rsid w:val="F4D21F2B"/>
    <w:rsid w:val="F5DE9160"/>
    <w:rsid w:val="F6BC9AE2"/>
    <w:rsid w:val="F72F2138"/>
    <w:rsid w:val="F7BC71C0"/>
    <w:rsid w:val="F7FBAD47"/>
    <w:rsid w:val="F7FBB63E"/>
    <w:rsid w:val="F7FF41D8"/>
    <w:rsid w:val="F9DB58A6"/>
    <w:rsid w:val="F9E0E596"/>
    <w:rsid w:val="FAF72D31"/>
    <w:rsid w:val="FB4D6203"/>
    <w:rsid w:val="FBA7E318"/>
    <w:rsid w:val="FBDF9E52"/>
    <w:rsid w:val="FCAF51DF"/>
    <w:rsid w:val="FCDFB315"/>
    <w:rsid w:val="FDD97387"/>
    <w:rsid w:val="FDF8BFF4"/>
    <w:rsid w:val="FEDB5951"/>
    <w:rsid w:val="FF71C242"/>
    <w:rsid w:val="FF7A2487"/>
    <w:rsid w:val="FF9BBFEB"/>
    <w:rsid w:val="FF9F23F2"/>
    <w:rsid w:val="FFADE6E6"/>
    <w:rsid w:val="FFC70FF6"/>
    <w:rsid w:val="FFD38367"/>
    <w:rsid w:val="FFF9014C"/>
    <w:rsid w:val="FFFEF561"/>
    <w:rsid w:val="FFFF5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 w:val="0"/>
      <w:suppressLineNumbers w:val="0"/>
      <w:spacing w:before="50" w:beforeLines="50" w:beforeAutospacing="0" w:after="50" w:afterLines="50" w:afterAutospacing="0" w:line="400" w:lineRule="exact"/>
      <w:ind w:left="0" w:right="0"/>
      <w:jc w:val="center"/>
      <w:outlineLvl w:val="1"/>
    </w:pPr>
    <w:rPr>
      <w:rFonts w:hint="eastAsia" w:ascii="宋体" w:hAnsi="宋体" w:eastAsia="宋体" w:cs="宋体"/>
      <w:kern w:val="0"/>
      <w:sz w:val="32"/>
      <w:szCs w:val="36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unhideWhenUsed/>
    <w:qFormat/>
    <w:uiPriority w:val="0"/>
    <w:pPr>
      <w:spacing w:beforeLines="0" w:afterLines="0"/>
      <w:ind w:left="420" w:leftChars="200"/>
    </w:pPr>
    <w:rPr>
      <w:rFonts w:hint="default"/>
      <w:sz w:val="21"/>
      <w:szCs w:val="24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100" w:firstLineChars="100"/>
    </w:pPr>
    <w:rPr>
      <w:rFonts w:eastAsia="文星简小标宋"/>
      <w:sz w:val="44"/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rFonts w:ascii="Verdana" w:hAnsi="Verdana" w:eastAsia="仿宋_GB2312"/>
      <w:b/>
      <w:kern w:val="0"/>
      <w:sz w:val="24"/>
      <w:lang w:eastAsia="en-US"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paragraph" w:customStyle="1" w:styleId="19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PlainText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普通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23">
    <w:name w:val="条2 Char Char"/>
    <w:link w:val="24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24">
    <w:name w:val="条2"/>
    <w:basedOn w:val="1"/>
    <w:link w:val="23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72</Pages>
  <Words>23307</Words>
  <Characters>24431</Characters>
  <Lines>0</Lines>
  <Paragraphs>0</Paragraphs>
  <TotalTime>78</TotalTime>
  <ScaleCrop>false</ScaleCrop>
  <LinksUpToDate>false</LinksUpToDate>
  <CharactersWithSpaces>25771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2025-04-08T17:24:00Z</dcterms:created>
  <dc:creator>songge</dc:creator>
  <cp:lastModifiedBy>xiaoshuiyu</cp:lastModifiedBy>
  <cp:lastPrinted>2025-04-26T10:02:00Z</cp:lastPrinted>
  <dcterms:modified xsi:type="dcterms:W3CDTF">2026-03-26T16:45:29Z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0470CC5ED207C7948C6A8469CD9EC670</vt:lpwstr>
  </property>
  <property fmtid="{D5CDD505-2E9C-101B-9397-08002B2CF9AE}" pid="4" name="KSOTemplateDocerSaveRecord">
    <vt:lpwstr>eyJoZGlkIjoiNDkyNGIxOGUwNTQ3NzllMGE5YzNmMzkyMzIwZGU0N2EiLCJ1c2VySWQiOiI1NTUzNDYxMTUifQ==</vt:lpwstr>
  </property>
</Properties>
</file>