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lang w:val="en" w:eastAsia="zh-CN"/>
        </w:rPr>
      </w:pPr>
      <w:bookmarkStart w:id="1" w:name="_GoBack"/>
      <w:bookmarkEnd w:id="1"/>
      <w:r>
        <w:rPr>
          <w:rFonts w:hint="eastAsia" w:ascii="方正小标宋_GBK" w:hAnsi="方正小标宋_GBK" w:eastAsia="方正小标宋_GBK" w:cs="方正小标宋_GBK"/>
          <w:sz w:val="44"/>
          <w:szCs w:val="44"/>
        </w:rPr>
        <w:t>福田英才荟</w:t>
      </w:r>
      <w:r>
        <w:rPr>
          <w:rFonts w:hint="eastAsia" w:ascii="方正小标宋_GBK" w:hAnsi="方正小标宋_GBK" w:eastAsia="方正小标宋_GBK" w:cs="方正小标宋_GBK"/>
          <w:sz w:val="44"/>
          <w:szCs w:val="44"/>
          <w:lang w:val="en-US" w:eastAsia="zh-CN"/>
        </w:rPr>
        <w:t>人才短期居住服务</w:t>
      </w:r>
      <w:r>
        <w:rPr>
          <w:rFonts w:hint="default" w:ascii="方正小标宋_GBK" w:hAnsi="方正小标宋_GBK" w:eastAsia="方正小标宋_GBK" w:cs="方正小标宋_GBK"/>
          <w:sz w:val="44"/>
          <w:szCs w:val="44"/>
          <w:lang w:val="en"/>
        </w:rPr>
        <w:t>支持</w:t>
      </w:r>
      <w:r>
        <w:rPr>
          <w:rFonts w:hint="eastAsia" w:ascii="方正小标宋_GBK" w:hAnsi="方正小标宋_GBK" w:eastAsia="方正小标宋_GBK" w:cs="方正小标宋_GBK"/>
          <w:sz w:val="44"/>
          <w:szCs w:val="44"/>
          <w:lang w:val="en" w:eastAsia="zh-CN"/>
        </w:rPr>
        <w:t>政策</w:t>
      </w:r>
    </w:p>
    <w:p>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z w:val="44"/>
          <w:szCs w:val="44"/>
        </w:rPr>
        <w:t>指南</w:t>
      </w:r>
    </w:p>
    <w:p>
      <w:pPr>
        <w:pStyle w:val="4"/>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人才短期居住服务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类打造福田青年驿站，为来福田创新创业的海归青年、港澳台青年、外籍青年等人才提供最长5天的公寓居住服务，为应届毕业生提供最长15天的免费青年驿站住宿，为有需要、符合条件的优秀青年提供更长时间的短期居住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（一）福田青年驿站（人才站）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1.申请条件（需符合第一类、第二类条件之一）：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一类：来福田发展的港澳台籍、外籍或境外留学归国应届毕业生，需同时满足以下条件：持有教育部认证的境外全日制硕士及以上学位、无《传染病防治法》列明传染性疾病、无“青年驿站”入住记录且遵守“青年驿站”管理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第二类：入选国家、省、市及我区人才计划的人员以及区人才局推荐的其他人才，需同时满足以下条件：无《传染病防治法》列明传染性疾病、遵守福田青年驿站（人才站）各项规章制度。</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（二）福田青年驿站（石厦站）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1.申请条件：来福田发展的应届毕业生，需同时满足以下条件：无《传染病防治法》列明传染性疾病、无“青年驿站”入住记录且遵守“青年驿站”管理规定。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（一）福田青年驿站（人才站）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仿宋_GB2312" w:cs="黑体"/>
          <w:sz w:val="32"/>
          <w:szCs w:val="32"/>
          <w:lang w:eastAsia="zh-CN"/>
        </w:rPr>
      </w:pPr>
      <w:r>
        <w:rPr>
          <w:rFonts w:hint="eastAsia" w:ascii="仿宋_GB2312" w:hAnsi="仿宋_GB2312" w:eastAsia="仿宋_GB2312" w:cs="仿宋_GB2312"/>
          <w:sz w:val="32"/>
          <w:szCs w:val="32"/>
        </w:rPr>
        <w:t>为来福田创新创业的海归青年、港澳台青年、外籍青年等人才提供最长5天的公寓居住服务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（二）福田青年驿站（石厦站）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为应届毕业生提供最长15天的免费青年驿站住宿，为有需要、符合条件的优秀青年提供更长时间的短期居住服务。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2" w:firstLineChars="200"/>
        <w:jc w:val="left"/>
        <w:textAlignment w:val="auto"/>
        <w:outlineLvl w:val="9"/>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（一）福田青年驿站（人才站）</w:t>
      </w:r>
    </w:p>
    <w:tbl>
      <w:tblPr>
        <w:tblStyle w:val="10"/>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148"/>
        <w:gridCol w:w="2556"/>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序号</w:t>
            </w:r>
          </w:p>
        </w:tc>
        <w:tc>
          <w:tcPr>
            <w:tcW w:w="21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材料名称</w:t>
            </w:r>
          </w:p>
        </w:tc>
        <w:tc>
          <w:tcPr>
            <w:tcW w:w="25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材料形式</w:t>
            </w:r>
          </w:p>
        </w:tc>
        <w:tc>
          <w:tcPr>
            <w:tcW w:w="27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28"/>
                <w:szCs w:val="28"/>
                <w:highlight w:val="none"/>
                <w:vertAlign w:val="baseline"/>
                <w:lang w:val="en-US" w:eastAsia="zh-CN"/>
              </w:rPr>
              <w:t>福田青年驿站（人才站）入住申报表</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在线填报</w:t>
            </w:r>
          </w:p>
        </w:tc>
        <w:tc>
          <w:tcPr>
            <w:tcW w:w="2760" w:type="dxa"/>
            <w:noWrap w:val="0"/>
            <w:vAlign w:val="center"/>
          </w:tcPr>
          <w:p>
            <w:pPr>
              <w:keepNext w:val="0"/>
              <w:keepLines w:val="0"/>
              <w:pageBreakBefore w:val="0"/>
              <w:widowControl w:val="0"/>
              <w:tabs>
                <w:tab w:val="left" w:pos="6433"/>
              </w:tabs>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28"/>
                <w:szCs w:val="28"/>
                <w:highlight w:val="none"/>
                <w:vertAlign w:val="baseline"/>
                <w:lang w:val="en-US" w:eastAsia="zh-CN"/>
              </w:rPr>
              <w:t>含</w:t>
            </w:r>
            <w:r>
              <w:rPr>
                <w:rFonts w:hint="eastAsia" w:ascii="仿宋_GB2312" w:hAnsi="仿宋_GB2312" w:eastAsia="仿宋_GB2312" w:cs="仿宋_GB2312"/>
                <w:sz w:val="28"/>
                <w:szCs w:val="28"/>
                <w:highlight w:val="none"/>
                <w:vertAlign w:val="baseline"/>
                <w:lang w:val="en-US" w:eastAsia="zh-CN"/>
              </w:rPr>
              <w:t>：</w:t>
            </w:r>
            <w:r>
              <w:rPr>
                <w:rFonts w:hint="default" w:ascii="仿宋_GB2312" w:hAnsi="仿宋_GB2312" w:eastAsia="仿宋_GB2312" w:cs="仿宋_GB2312"/>
                <w:sz w:val="28"/>
                <w:szCs w:val="28"/>
                <w:highlight w:val="none"/>
                <w:vertAlign w:val="baseline"/>
                <w:lang w:val="en-US" w:eastAsia="zh-CN"/>
              </w:rPr>
              <w:t>姓名、性别、手机号码、</w:t>
            </w:r>
            <w:r>
              <w:rPr>
                <w:rFonts w:hint="eastAsia" w:ascii="仿宋_GB2312" w:hAnsi="仿宋_GB2312" w:eastAsia="仿宋_GB2312" w:cs="仿宋_GB2312"/>
                <w:sz w:val="28"/>
                <w:szCs w:val="28"/>
                <w:highlight w:val="none"/>
                <w:vertAlign w:val="baseline"/>
                <w:lang w:val="en-US" w:eastAsia="zh-CN"/>
              </w:rPr>
              <w:t>证件号码</w:t>
            </w:r>
            <w:r>
              <w:rPr>
                <w:rFonts w:hint="default" w:ascii="仿宋_GB2312" w:hAnsi="仿宋_GB2312" w:eastAsia="仿宋_GB2312" w:cs="仿宋_GB2312"/>
                <w:sz w:val="28"/>
                <w:szCs w:val="28"/>
                <w:highlight w:val="none"/>
                <w:vertAlign w:val="baseline"/>
                <w:lang w:val="en-US" w:eastAsia="zh-CN"/>
              </w:rPr>
              <w:t>、健康状况</w:t>
            </w:r>
            <w:r>
              <w:rPr>
                <w:rFonts w:hint="eastAsia" w:ascii="仿宋_GB2312" w:hAnsi="仿宋_GB2312" w:eastAsia="仿宋_GB2312" w:cs="仿宋_GB2312"/>
                <w:sz w:val="28"/>
                <w:szCs w:val="28"/>
                <w:highlight w:val="none"/>
                <w:vertAlign w:val="baseline"/>
                <w:lang w:val="en-US" w:eastAsia="zh-CN"/>
              </w:rPr>
              <w:t>、工作状况</w:t>
            </w:r>
            <w:r>
              <w:rPr>
                <w:rFonts w:hint="default" w:ascii="仿宋_GB2312" w:hAnsi="仿宋_GB2312" w:eastAsia="仿宋_GB2312" w:cs="仿宋_GB2312"/>
                <w:sz w:val="28"/>
                <w:szCs w:val="28"/>
                <w:highlight w:val="none"/>
                <w:vertAlign w:val="baseline"/>
                <w:lang w:val="en-US" w:eastAsia="zh-CN"/>
              </w:rPr>
              <w:t>等信息</w:t>
            </w:r>
            <w:r>
              <w:rPr>
                <w:rFonts w:hint="eastAsia" w:ascii="仿宋_GB2312" w:hAnsi="仿宋_GB2312" w:eastAsia="仿宋_GB2312" w:cs="仿宋_GB2312"/>
                <w:sz w:val="28"/>
                <w:szCs w:val="2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身份证明</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在线上传身份证明照片</w:t>
            </w:r>
          </w:p>
        </w:tc>
        <w:tc>
          <w:tcPr>
            <w:tcW w:w="27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default" w:ascii="仿宋_GB2312" w:hAnsi="仿宋_GB2312" w:eastAsia="仿宋_GB2312" w:cs="仿宋_GB231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学历证明</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在线上传毕业证、国外学历学位认证书</w:t>
            </w:r>
          </w:p>
        </w:tc>
        <w:tc>
          <w:tcPr>
            <w:tcW w:w="2760" w:type="dxa"/>
            <w:vMerge w:val="restart"/>
            <w:noWrap w:val="0"/>
            <w:vAlign w:val="center"/>
          </w:tcPr>
          <w:p>
            <w:pPr>
              <w:keepNext w:val="0"/>
              <w:keepLines w:val="0"/>
              <w:pageBreakBefore w:val="0"/>
              <w:widowControl w:val="0"/>
              <w:tabs>
                <w:tab w:val="left" w:pos="643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lang w:val="en-US" w:eastAsia="zh-CN"/>
              </w:rPr>
              <w:t>满足两项其一即可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人才认证佐证材料</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在线上传人才认证佐证材料</w:t>
            </w:r>
          </w:p>
        </w:tc>
        <w:tc>
          <w:tcPr>
            <w:tcW w:w="2760" w:type="dxa"/>
            <w:vMerge w:val="continue"/>
            <w:noWrap w:val="0"/>
            <w:vAlign w:val="center"/>
          </w:tcPr>
          <w:p>
            <w:pPr>
              <w:keepNext w:val="0"/>
              <w:keepLines w:val="0"/>
              <w:pageBreakBefore w:val="0"/>
              <w:widowControl w:val="0"/>
              <w:tabs>
                <w:tab w:val="left" w:pos="643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kern w:val="2"/>
                <w:sz w:val="28"/>
                <w:szCs w:val="28"/>
                <w:highlight w:val="none"/>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2" w:firstLineChars="200"/>
        <w:jc w:val="left"/>
        <w:textAlignment w:val="auto"/>
        <w:outlineLvl w:val="9"/>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（二）福田青年驿站（石厦站）</w:t>
      </w:r>
    </w:p>
    <w:tbl>
      <w:tblPr>
        <w:tblStyle w:val="10"/>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148"/>
        <w:gridCol w:w="2556"/>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序号</w:t>
            </w:r>
          </w:p>
        </w:tc>
        <w:tc>
          <w:tcPr>
            <w:tcW w:w="2148"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材料名称</w:t>
            </w:r>
          </w:p>
        </w:tc>
        <w:tc>
          <w:tcPr>
            <w:tcW w:w="2556"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材料形式</w:t>
            </w:r>
          </w:p>
        </w:tc>
        <w:tc>
          <w:tcPr>
            <w:tcW w:w="27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福田</w:t>
            </w:r>
            <w:r>
              <w:rPr>
                <w:rFonts w:hint="default" w:ascii="仿宋_GB2312" w:hAnsi="仿宋_GB2312" w:eastAsia="仿宋_GB2312" w:cs="仿宋_GB2312"/>
                <w:sz w:val="28"/>
                <w:szCs w:val="28"/>
                <w:highlight w:val="none"/>
                <w:vertAlign w:val="baseline"/>
                <w:lang w:val="en-US" w:eastAsia="zh-CN"/>
              </w:rPr>
              <w:t>青年驿站（石厦站）入住申报表</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在线填报</w:t>
            </w:r>
          </w:p>
        </w:tc>
        <w:tc>
          <w:tcPr>
            <w:tcW w:w="2760" w:type="dxa"/>
            <w:noWrap w:val="0"/>
            <w:vAlign w:val="center"/>
          </w:tcPr>
          <w:p>
            <w:pPr>
              <w:keepNext w:val="0"/>
              <w:keepLines w:val="0"/>
              <w:pageBreakBefore w:val="0"/>
              <w:widowControl w:val="0"/>
              <w:tabs>
                <w:tab w:val="left" w:pos="6433"/>
              </w:tabs>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28"/>
                <w:szCs w:val="28"/>
                <w:highlight w:val="none"/>
                <w:vertAlign w:val="baseline"/>
                <w:lang w:val="en-US" w:eastAsia="zh-CN"/>
              </w:rPr>
              <w:t>含</w:t>
            </w:r>
            <w:r>
              <w:rPr>
                <w:rFonts w:hint="eastAsia" w:ascii="仿宋_GB2312" w:hAnsi="仿宋_GB2312" w:eastAsia="仿宋_GB2312" w:cs="仿宋_GB2312"/>
                <w:sz w:val="28"/>
                <w:szCs w:val="28"/>
                <w:highlight w:val="none"/>
                <w:vertAlign w:val="baseline"/>
                <w:lang w:val="en-US" w:eastAsia="zh-CN"/>
              </w:rPr>
              <w:t>：</w:t>
            </w:r>
            <w:r>
              <w:rPr>
                <w:rFonts w:hint="default" w:ascii="仿宋_GB2312" w:hAnsi="仿宋_GB2312" w:eastAsia="仿宋_GB2312" w:cs="仿宋_GB2312"/>
                <w:sz w:val="28"/>
                <w:szCs w:val="28"/>
                <w:highlight w:val="none"/>
                <w:vertAlign w:val="baseline"/>
                <w:lang w:val="en-US" w:eastAsia="zh-CN"/>
              </w:rPr>
              <w:t>姓名、性别、手机号码、</w:t>
            </w:r>
            <w:r>
              <w:rPr>
                <w:rFonts w:hint="eastAsia" w:ascii="仿宋_GB2312" w:hAnsi="仿宋_GB2312" w:eastAsia="仿宋_GB2312" w:cs="仿宋_GB2312"/>
                <w:sz w:val="28"/>
                <w:szCs w:val="28"/>
                <w:highlight w:val="none"/>
                <w:vertAlign w:val="baseline"/>
                <w:lang w:val="en-US" w:eastAsia="zh-CN"/>
              </w:rPr>
              <w:t>证件号码</w:t>
            </w:r>
            <w:r>
              <w:rPr>
                <w:rFonts w:hint="default" w:ascii="仿宋_GB2312" w:hAnsi="仿宋_GB2312" w:eastAsia="仿宋_GB2312" w:cs="仿宋_GB2312"/>
                <w:sz w:val="28"/>
                <w:szCs w:val="28"/>
                <w:highlight w:val="none"/>
                <w:vertAlign w:val="baseline"/>
                <w:lang w:val="en-US" w:eastAsia="zh-CN"/>
              </w:rPr>
              <w:t>、政治面貌、健康状况</w:t>
            </w:r>
            <w:r>
              <w:rPr>
                <w:rFonts w:hint="eastAsia" w:ascii="仿宋_GB2312" w:hAnsi="仿宋_GB2312" w:eastAsia="仿宋_GB2312" w:cs="仿宋_GB2312"/>
                <w:sz w:val="28"/>
                <w:szCs w:val="28"/>
                <w:highlight w:val="none"/>
                <w:vertAlign w:val="baseline"/>
                <w:lang w:val="en-US" w:eastAsia="zh-CN"/>
              </w:rPr>
              <w:t>、工作状况</w:t>
            </w:r>
            <w:r>
              <w:rPr>
                <w:rFonts w:hint="default" w:ascii="仿宋_GB2312" w:hAnsi="仿宋_GB2312" w:eastAsia="仿宋_GB2312" w:cs="仿宋_GB2312"/>
                <w:sz w:val="28"/>
                <w:szCs w:val="28"/>
                <w:highlight w:val="none"/>
                <w:vertAlign w:val="baseline"/>
                <w:lang w:val="en-US" w:eastAsia="zh-CN"/>
              </w:rPr>
              <w:t>等信息</w:t>
            </w:r>
            <w:r>
              <w:rPr>
                <w:rFonts w:hint="eastAsia" w:ascii="仿宋_GB2312" w:hAnsi="仿宋_GB2312" w:eastAsia="仿宋_GB2312" w:cs="仿宋_GB2312"/>
                <w:sz w:val="28"/>
                <w:szCs w:val="28"/>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身份证明</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在线上传身份证明照片</w:t>
            </w:r>
          </w:p>
        </w:tc>
        <w:tc>
          <w:tcPr>
            <w:tcW w:w="27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default" w:ascii="仿宋_GB2312" w:hAnsi="仿宋_GB2312" w:eastAsia="仿宋_GB2312" w:cs="仿宋_GB2312"/>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21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center"/>
              <w:textAlignment w:val="auto"/>
              <w:outlineLvl w:val="9"/>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学历证明</w:t>
            </w:r>
          </w:p>
        </w:tc>
        <w:tc>
          <w:tcPr>
            <w:tcW w:w="25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both"/>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在线上传毕业证、教育部学籍在线验证报告或学生证信息</w:t>
            </w:r>
          </w:p>
        </w:tc>
        <w:tc>
          <w:tcPr>
            <w:tcW w:w="2760"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1.应届毕业生须上传毕业证照片或教育部学籍在线验证报告电子版；</w:t>
            </w:r>
          </w:p>
          <w:p>
            <w:pPr>
              <w:keepNext w:val="0"/>
              <w:keepLines w:val="0"/>
              <w:pageBreakBefore w:val="0"/>
              <w:widowControl w:val="0"/>
              <w:tabs>
                <w:tab w:val="left" w:pos="6433"/>
              </w:tabs>
              <w:kinsoku/>
              <w:wordWrap/>
              <w:overflowPunct/>
              <w:topLinePunct w:val="0"/>
              <w:autoSpaceDE/>
              <w:autoSpaceDN/>
              <w:bidi w:val="0"/>
              <w:adjustRightInd/>
              <w:snapToGrid/>
              <w:spacing w:line="360" w:lineRule="exact"/>
              <w:jc w:val="both"/>
              <w:textAlignment w:val="auto"/>
              <w:rPr>
                <w:rFonts w:hint="default"/>
                <w:highlight w:val="none"/>
                <w:lang w:val="en-US" w:eastAsia="zh-CN"/>
              </w:rPr>
            </w:pPr>
            <w:r>
              <w:rPr>
                <w:rFonts w:hint="eastAsia" w:ascii="仿宋_GB2312" w:hAnsi="仿宋_GB2312" w:eastAsia="仿宋_GB2312" w:cs="仿宋_GB2312"/>
                <w:b w:val="0"/>
                <w:kern w:val="2"/>
                <w:sz w:val="28"/>
                <w:szCs w:val="28"/>
                <w:highlight w:val="none"/>
                <w:vertAlign w:val="baseline"/>
                <w:lang w:val="en-US" w:eastAsia="zh-CN" w:bidi="ar-SA"/>
              </w:rPr>
              <w:t>2.毕业学年在校生须上传具有有效日期且加盖学校公章的学生证照片或</w:t>
            </w:r>
            <w:r>
              <w:rPr>
                <w:rFonts w:hint="eastAsia" w:ascii="仿宋_GB2312" w:hAnsi="仿宋_GB2312" w:eastAsia="仿宋_GB2312" w:cs="仿宋_GB2312"/>
                <w:sz w:val="28"/>
                <w:szCs w:val="28"/>
                <w:highlight w:val="none"/>
                <w:vertAlign w:val="baseline"/>
                <w:lang w:val="en-US" w:eastAsia="zh-CN"/>
              </w:rPr>
              <w:t>教育部学籍在线验证报告电子版。</w:t>
            </w:r>
          </w:p>
        </w:tc>
      </w:tr>
    </w:tbl>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六、办理流程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（一）办理方式：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“青年驿站”微信小程序在线申请办理。</w:t>
      </w:r>
    </w:p>
    <w:p>
      <w:pPr>
        <w:adjustRightInd w:val="0"/>
        <w:snapToGrid w:val="0"/>
        <w:spacing w:line="579" w:lineRule="exact"/>
        <w:ind w:left="638" w:leftChars="304"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（二）办理程序：</w:t>
      </w:r>
    </w:p>
    <w:p>
      <w:pPr>
        <w:adjustRightInd w:val="0"/>
        <w:snapToGrid w:val="0"/>
        <w:spacing w:line="579"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在线申请：</w:t>
      </w:r>
      <w:r>
        <w:rPr>
          <w:rFonts w:hint="eastAsia" w:ascii="仿宋_GB2312" w:eastAsia="仿宋_GB2312"/>
          <w:sz w:val="32"/>
          <w:szCs w:val="32"/>
          <w:highlight w:val="none"/>
          <w:lang w:val="en-US" w:eastAsia="zh-CN"/>
        </w:rPr>
        <w:t>申请福田青年驿站（人才站）服务，需</w:t>
      </w:r>
      <w:r>
        <w:rPr>
          <w:rFonts w:hint="eastAsia" w:ascii="仿宋_GB2312" w:eastAsia="仿宋_GB2312"/>
          <w:sz w:val="32"/>
          <w:szCs w:val="32"/>
          <w:highlight w:val="none"/>
        </w:rPr>
        <w:t>通过</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青年驿站</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微信小程序选择：福田青年驿站（人才站），</w:t>
      </w:r>
      <w:r>
        <w:rPr>
          <w:rFonts w:hint="eastAsia" w:ascii="仿宋_GB2312" w:eastAsia="仿宋_GB2312"/>
          <w:sz w:val="32"/>
          <w:szCs w:val="32"/>
          <w:highlight w:val="none"/>
        </w:rPr>
        <w:t>提交个人信息及申请材料；</w:t>
      </w:r>
      <w:r>
        <w:rPr>
          <w:rFonts w:hint="eastAsia" w:ascii="仿宋_GB2312" w:eastAsia="仿宋_GB2312"/>
          <w:sz w:val="32"/>
          <w:szCs w:val="32"/>
          <w:highlight w:val="none"/>
          <w:lang w:val="en-US" w:eastAsia="zh-CN"/>
        </w:rPr>
        <w:t>申请福田青年驿站（石厦站）服务，需</w:t>
      </w:r>
      <w:r>
        <w:rPr>
          <w:rFonts w:hint="eastAsia" w:ascii="仿宋_GB2312" w:eastAsia="仿宋_GB2312"/>
          <w:sz w:val="32"/>
          <w:szCs w:val="32"/>
          <w:highlight w:val="none"/>
        </w:rPr>
        <w:t>通过</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青年驿站</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小程序选择：福田青年驿站（石厦站），</w:t>
      </w:r>
      <w:r>
        <w:rPr>
          <w:rFonts w:hint="eastAsia" w:ascii="仿宋_GB2312" w:eastAsia="仿宋_GB2312"/>
          <w:sz w:val="32"/>
          <w:szCs w:val="32"/>
          <w:highlight w:val="none"/>
        </w:rPr>
        <w:t>提交个人信息及申请材料</w:t>
      </w:r>
      <w:r>
        <w:rPr>
          <w:rFonts w:hint="eastAsia" w:ascii="仿宋_GB2312" w:eastAsia="仿宋_GB2312"/>
          <w:sz w:val="32"/>
          <w:szCs w:val="32"/>
          <w:highlight w:val="none"/>
          <w:lang w:eastAsia="zh-CN"/>
        </w:rPr>
        <w:t>。</w:t>
      </w:r>
    </w:p>
    <w:p>
      <w:pPr>
        <w:adjustRightInd w:val="0"/>
        <w:snapToGrid w:val="0"/>
        <w:spacing w:line="579" w:lineRule="exact"/>
        <w:ind w:firstLine="640" w:firstLineChars="200"/>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审核确认：</w:t>
      </w:r>
      <w:r>
        <w:rPr>
          <w:rFonts w:hint="eastAsia" w:ascii="仿宋_GB2312" w:eastAsia="仿宋_GB2312"/>
          <w:sz w:val="32"/>
          <w:szCs w:val="32"/>
          <w:highlight w:val="none"/>
          <w:lang w:val="en-US" w:eastAsia="zh-CN"/>
        </w:rPr>
        <w:t>团区委</w:t>
      </w:r>
      <w:r>
        <w:rPr>
          <w:rFonts w:hint="eastAsia" w:ascii="仿宋_GB2312" w:eastAsia="仿宋_GB2312"/>
          <w:sz w:val="32"/>
          <w:szCs w:val="32"/>
          <w:highlight w:val="none"/>
        </w:rPr>
        <w:t>对申请材料进行审核，</w:t>
      </w:r>
      <w:r>
        <w:rPr>
          <w:rFonts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rPr>
        <w:t>申请人</w:t>
      </w:r>
      <w:r>
        <w:rPr>
          <w:rFonts w:ascii="仿宋_GB2312" w:hAnsi="仿宋_GB2312" w:eastAsia="仿宋_GB2312" w:cs="仿宋_GB2312"/>
          <w:sz w:val="32"/>
          <w:szCs w:val="32"/>
          <w:highlight w:val="none"/>
        </w:rPr>
        <w:t>提交入住申请后的三个工作日内</w:t>
      </w:r>
      <w:r>
        <w:rPr>
          <w:rFonts w:hint="eastAsia" w:ascii="仿宋_GB2312" w:hAnsi="仿宋_GB2312" w:eastAsia="仿宋_GB2312" w:cs="仿宋_GB2312"/>
          <w:sz w:val="32"/>
          <w:szCs w:val="32"/>
          <w:highlight w:val="none"/>
        </w:rPr>
        <w:t>按照申请先后顺序</w:t>
      </w:r>
      <w:r>
        <w:rPr>
          <w:rFonts w:ascii="仿宋_GB2312" w:hAnsi="仿宋_GB2312" w:eastAsia="仿宋_GB2312" w:cs="仿宋_GB2312"/>
          <w:sz w:val="32"/>
          <w:szCs w:val="32"/>
          <w:highlight w:val="none"/>
        </w:rPr>
        <w:t>完成审核流程</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办理入住：</w:t>
      </w:r>
      <w:r>
        <w:rPr>
          <w:rFonts w:hint="eastAsia" w:ascii="仿宋_GB2312" w:hAnsi="仿宋_GB2312" w:eastAsia="仿宋_GB2312" w:cs="仿宋_GB2312"/>
          <w:sz w:val="32"/>
          <w:szCs w:val="32"/>
          <w:highlight w:val="none"/>
          <w:lang w:val="en-US" w:eastAsia="zh-CN"/>
        </w:rPr>
        <w:t>于审核通过的入住</w:t>
      </w:r>
      <w:r>
        <w:rPr>
          <w:rFonts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14:00后</w:t>
      </w:r>
      <w:r>
        <w:rPr>
          <w:rFonts w:hint="eastAsia" w:ascii="仿宋_GB2312" w:eastAsia="仿宋_GB2312"/>
          <w:sz w:val="32"/>
          <w:szCs w:val="32"/>
          <w:highlight w:val="none"/>
        </w:rPr>
        <w:t>凭有效身份证件办理入住手续。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w:t>
      </w:r>
      <w:r>
        <w:rPr>
          <w:rFonts w:hint="eastAsia" w:ascii="黑体" w:hAnsi="黑体" w:eastAsia="黑体" w:cs="黑体"/>
          <w:sz w:val="32"/>
          <w:szCs w:val="32"/>
        </w:rPr>
        <w:t>其它说明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bookmarkStart w:id="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）本指南有效期自发布之日起至2026年12月31日。在《关于实施福田英才荟政策的若干措施（2025）》有效期内，本指南将按年度更新。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Theme="minor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本指南由共青团福田区委员会负责解释，期间共青团福田区委员会可根据市、区相关政策调整及实际工作需要，对本指南内容进行修订并及时公布，咨询电话：0755-82918333转1883。</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9F"/>
    <w:rsid w:val="00041AF0"/>
    <w:rsid w:val="00633C19"/>
    <w:rsid w:val="00840236"/>
    <w:rsid w:val="00A02CA1"/>
    <w:rsid w:val="00DF77BB"/>
    <w:rsid w:val="00F6159F"/>
    <w:rsid w:val="02E1562D"/>
    <w:rsid w:val="0CF15D25"/>
    <w:rsid w:val="0E7D7EF3"/>
    <w:rsid w:val="0FA9295F"/>
    <w:rsid w:val="1A4255EB"/>
    <w:rsid w:val="1ADDA28E"/>
    <w:rsid w:val="1DF70755"/>
    <w:rsid w:val="1EEDE9A8"/>
    <w:rsid w:val="1FB790FD"/>
    <w:rsid w:val="1FDC6811"/>
    <w:rsid w:val="1FDE9E5B"/>
    <w:rsid w:val="1FEFBA3B"/>
    <w:rsid w:val="21803A50"/>
    <w:rsid w:val="249F5246"/>
    <w:rsid w:val="25754570"/>
    <w:rsid w:val="278B4B40"/>
    <w:rsid w:val="2A7D5C68"/>
    <w:rsid w:val="2B424AFA"/>
    <w:rsid w:val="2FAF9DB7"/>
    <w:rsid w:val="2FCF468A"/>
    <w:rsid w:val="2FF65560"/>
    <w:rsid w:val="32FFAE36"/>
    <w:rsid w:val="33552B04"/>
    <w:rsid w:val="35FC57AC"/>
    <w:rsid w:val="367F4B92"/>
    <w:rsid w:val="37BCA423"/>
    <w:rsid w:val="37E92819"/>
    <w:rsid w:val="38C669BD"/>
    <w:rsid w:val="3AB841AD"/>
    <w:rsid w:val="3CD9329E"/>
    <w:rsid w:val="3D3B804A"/>
    <w:rsid w:val="3DDFDA32"/>
    <w:rsid w:val="3DFE215F"/>
    <w:rsid w:val="3F7F3330"/>
    <w:rsid w:val="43865AD8"/>
    <w:rsid w:val="4540617F"/>
    <w:rsid w:val="46B43C48"/>
    <w:rsid w:val="475F4409"/>
    <w:rsid w:val="47877A4D"/>
    <w:rsid w:val="47D5605D"/>
    <w:rsid w:val="49556577"/>
    <w:rsid w:val="4BFFE523"/>
    <w:rsid w:val="4FBF0996"/>
    <w:rsid w:val="4FDFB45A"/>
    <w:rsid w:val="53E72504"/>
    <w:rsid w:val="53F7C0E8"/>
    <w:rsid w:val="5768623B"/>
    <w:rsid w:val="58BA1B4B"/>
    <w:rsid w:val="594B2D8B"/>
    <w:rsid w:val="597D2CC4"/>
    <w:rsid w:val="59D73FBE"/>
    <w:rsid w:val="5DDFAE60"/>
    <w:rsid w:val="5E1A2FF2"/>
    <w:rsid w:val="5FAF5A02"/>
    <w:rsid w:val="5FFF2418"/>
    <w:rsid w:val="668F8D0F"/>
    <w:rsid w:val="6776A37B"/>
    <w:rsid w:val="6797D2BC"/>
    <w:rsid w:val="69D1064C"/>
    <w:rsid w:val="6ABDB116"/>
    <w:rsid w:val="6B5A7B47"/>
    <w:rsid w:val="6FCFC44A"/>
    <w:rsid w:val="6FEFD70D"/>
    <w:rsid w:val="6FFA3206"/>
    <w:rsid w:val="737A8153"/>
    <w:rsid w:val="73EFF25A"/>
    <w:rsid w:val="76F27D0A"/>
    <w:rsid w:val="77AB46C7"/>
    <w:rsid w:val="77EE3F95"/>
    <w:rsid w:val="77FE937C"/>
    <w:rsid w:val="77FFC320"/>
    <w:rsid w:val="7A76367E"/>
    <w:rsid w:val="7BDFDDB4"/>
    <w:rsid w:val="7BFFB11D"/>
    <w:rsid w:val="7CBD8B38"/>
    <w:rsid w:val="7CFE5CDD"/>
    <w:rsid w:val="7D02BBFC"/>
    <w:rsid w:val="7D7B1920"/>
    <w:rsid w:val="7D9F8792"/>
    <w:rsid w:val="7DD33E67"/>
    <w:rsid w:val="7DF16313"/>
    <w:rsid w:val="7E915AE9"/>
    <w:rsid w:val="7EBBBF23"/>
    <w:rsid w:val="7EBE7FFF"/>
    <w:rsid w:val="7ECF363B"/>
    <w:rsid w:val="7F5D7BE8"/>
    <w:rsid w:val="7F673301"/>
    <w:rsid w:val="7F6F9D35"/>
    <w:rsid w:val="7F7532BB"/>
    <w:rsid w:val="7FADAF2C"/>
    <w:rsid w:val="7FCBC711"/>
    <w:rsid w:val="7FDF486C"/>
    <w:rsid w:val="87FF72FA"/>
    <w:rsid w:val="93F5AFA7"/>
    <w:rsid w:val="9BCE6120"/>
    <w:rsid w:val="9EBE1C15"/>
    <w:rsid w:val="9EFE6BA3"/>
    <w:rsid w:val="9FFF4D42"/>
    <w:rsid w:val="AE6D89C7"/>
    <w:rsid w:val="AF7945C6"/>
    <w:rsid w:val="B676F0C1"/>
    <w:rsid w:val="B7DBA245"/>
    <w:rsid w:val="B9E76B67"/>
    <w:rsid w:val="BBEF35F6"/>
    <w:rsid w:val="BEFFE2DD"/>
    <w:rsid w:val="BF6EB979"/>
    <w:rsid w:val="C77FB8CF"/>
    <w:rsid w:val="D5A793C4"/>
    <w:rsid w:val="DAFDCD76"/>
    <w:rsid w:val="DCF59B9D"/>
    <w:rsid w:val="DEEE166F"/>
    <w:rsid w:val="DF79C165"/>
    <w:rsid w:val="DF8F8B0F"/>
    <w:rsid w:val="DFF7DC33"/>
    <w:rsid w:val="E5E7926F"/>
    <w:rsid w:val="E6FE13F8"/>
    <w:rsid w:val="E9FC76D2"/>
    <w:rsid w:val="EBDBF798"/>
    <w:rsid w:val="EF1F3BF6"/>
    <w:rsid w:val="EF7E327E"/>
    <w:rsid w:val="EFFE47F9"/>
    <w:rsid w:val="F3FB5CEC"/>
    <w:rsid w:val="F3FFB18E"/>
    <w:rsid w:val="F5E68D5D"/>
    <w:rsid w:val="F7B4DC3A"/>
    <w:rsid w:val="F7BF16CC"/>
    <w:rsid w:val="F8FEE620"/>
    <w:rsid w:val="FAE5667C"/>
    <w:rsid w:val="FAFBB576"/>
    <w:rsid w:val="FB76451A"/>
    <w:rsid w:val="FB770BE2"/>
    <w:rsid w:val="FBDE25B5"/>
    <w:rsid w:val="FBF726CE"/>
    <w:rsid w:val="FD37BC2B"/>
    <w:rsid w:val="FDBFB91B"/>
    <w:rsid w:val="FDDFBE09"/>
    <w:rsid w:val="FDFBE334"/>
    <w:rsid w:val="FDFF9876"/>
    <w:rsid w:val="FDFFDBB1"/>
    <w:rsid w:val="FEA2881B"/>
    <w:rsid w:val="FEBE5F3F"/>
    <w:rsid w:val="FEBF96A6"/>
    <w:rsid w:val="FED2B67F"/>
    <w:rsid w:val="FEDF6E45"/>
    <w:rsid w:val="FEFEF13D"/>
    <w:rsid w:val="FFBBE332"/>
    <w:rsid w:val="FFBF115A"/>
    <w:rsid w:val="FFEEE20B"/>
    <w:rsid w:val="FFF5D779"/>
    <w:rsid w:val="FFF8B8E7"/>
    <w:rsid w:val="FFFC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link w:val="17"/>
    <w:qFormat/>
    <w:uiPriority w:val="0"/>
    <w:pPr>
      <w:widowControl w:val="0"/>
    </w:pPr>
    <w:rPr>
      <w:rFonts w:ascii="Calibri" w:hAnsi="Calibri" w:eastAsia="宋体" w:cs="Times New Roman"/>
      <w:kern w:val="2"/>
      <w:sz w:val="21"/>
      <w:szCs w:val="24"/>
      <w:lang w:val="en-US" w:eastAsia="zh-CN" w:bidi="ar-SA"/>
    </w:rPr>
  </w:style>
  <w:style w:type="paragraph" w:styleId="4">
    <w:name w:val="Body Text"/>
    <w:next w:val="1"/>
    <w:qFormat/>
    <w:uiPriority w:val="0"/>
    <w:pPr>
      <w:widowControl w:val="0"/>
      <w:jc w:val="center"/>
    </w:pPr>
    <w:rPr>
      <w:rFonts w:ascii="宋体" w:hAnsi="Calibri" w:eastAsia="宋体" w:cs="Times New Roman"/>
      <w:kern w:val="2"/>
      <w:sz w:val="44"/>
      <w:szCs w:val="24"/>
      <w:lang w:val="en-US" w:eastAsia="zh-CN" w:bidi="ar-SA"/>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页眉 字符"/>
    <w:basedOn w:val="11"/>
    <w:link w:val="6"/>
    <w:qFormat/>
    <w:uiPriority w:val="0"/>
    <w:rPr>
      <w:rFonts w:ascii="Calibri" w:hAnsi="Calibri"/>
      <w:kern w:val="2"/>
      <w:sz w:val="18"/>
      <w:szCs w:val="18"/>
    </w:rPr>
  </w:style>
  <w:style w:type="character" w:customStyle="1" w:styleId="15">
    <w:name w:val="页脚 字符"/>
    <w:basedOn w:val="11"/>
    <w:link w:val="5"/>
    <w:qFormat/>
    <w:uiPriority w:val="0"/>
    <w:rPr>
      <w:rFonts w:ascii="Calibri" w:hAnsi="Calibri"/>
      <w:kern w:val="2"/>
      <w:sz w:val="18"/>
      <w:szCs w:val="18"/>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1"/>
    <w:link w:val="3"/>
    <w:qFormat/>
    <w:uiPriority w:val="0"/>
    <w:rPr>
      <w:rFonts w:ascii="Calibri" w:hAnsi="Calibri"/>
      <w:kern w:val="2"/>
      <w:sz w:val="21"/>
      <w:szCs w:val="24"/>
    </w:rPr>
  </w:style>
  <w:style w:type="character" w:customStyle="1" w:styleId="18">
    <w:name w:val="批注主题 字符"/>
    <w:basedOn w:val="17"/>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571</Words>
  <Characters>3260</Characters>
  <Lines>27</Lines>
  <Paragraphs>7</Paragraphs>
  <TotalTime>3</TotalTime>
  <ScaleCrop>false</ScaleCrop>
  <LinksUpToDate>false</LinksUpToDate>
  <CharactersWithSpaces>3824</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2021-09-04T16:44:00Z</dcterms:created>
  <dc:creator>admin</dc:creator>
  <cp:lastModifiedBy>lihongyan</cp:lastModifiedBy>
  <cp:lastPrinted>2025-05-14T19:47:00Z</cp:lastPrinted>
  <dcterms:modified xsi:type="dcterms:W3CDTF">2026-03-27T16:44:39Z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21124A03864EDE8C7743C6697DC77A2C</vt:lpwstr>
  </property>
</Properties>
</file>