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福田区行政代建实施细则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为进一步规范政府投资项目建设管理，提高政府投资项目集中建设管理的专业水平和投资效益，依据《福田区政府投资项目代建管理办法》及相关法律法规和政策规定，结合福田区实际，制定本细则。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lang w:val="en-US" w:eastAsia="zh-CN"/>
        </w:rPr>
        <w:t xml:space="preserve">  </w:t>
      </w:r>
      <w:r>
        <w:rPr>
          <w:rFonts w:hint="eastAsia" w:ascii="仿宋_GB2312" w:eastAsia="仿宋_GB2312"/>
          <w:sz w:val="32"/>
        </w:rPr>
        <w:t>项目单位委托区建筑工务部门实施的行政代建项目适用本细则。委托区政务服务数据管理部门、下设事业单位实施的行政代建项目可参照本细则执行，或参照制定相关规则，并报备区发展改革部门。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lang w:val="en-US" w:eastAsia="zh-CN"/>
        </w:rPr>
        <w:t xml:space="preserve">  </w:t>
      </w:r>
      <w:r>
        <w:rPr>
          <w:rFonts w:hint="eastAsia" w:ascii="仿宋_GB2312" w:eastAsia="仿宋_GB2312"/>
          <w:sz w:val="32"/>
        </w:rPr>
        <w:t>行政代建项目实施流程为项目立项（明确采用行政代建模式）、可研批复、项目移交、报批报建、工程建设、工程验收、结决算、产权登记、资产移交等环节。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行政代建项目可由建设单位根据实际，采用市场化代建、全过程工程咨询、建筑师负责制、设计—采购—施工（EPC）工程总承包等方式实施，提高投资效益、工程建设质量和管理效率。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行政代建项目移交区建筑工务部门时应满足以下条件：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（一）原则上应在可行性研究报告批复后移交，免可行性研究报告的项目在取得立项批复后移交。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方案设计和可行性研究报告原则上由项目单位负责，会同区建筑工务部门共同完成，双方达成一致的也可委托区建筑工务部门负责。可行性研究报告经双方共同确认后，联合向区发展改革部门提交审核。</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（二）原则上应取得建设项目用地选址意见书及规划要点后移交，不涉及此项审批的项目除外。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（三）改扩建项目原则上应完成土地权属清理、违建拆除、场地腾挪等前期准备工作后移交。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（四）未达到以上条件，但确需提前移交的，须报区政府相关会议研究同意。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满足移交条件后，项目单位和区建筑工务部门应在20日内完成各项移交手续，并签署《福田区行政代建项目委托建设移交书》（详见附件1-1）。</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项目单位移交下设事业单位实施的行政代建项目，可通过综合授权等方式进行项目移交，简化实施流程。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对明确采用行政代建的项目，为确保前期工作有效推进，项目单位应与区建筑工务部门加强协作和沟通，针对建设内容、用地、造价、规模、客观限制条件等情况，提前研判、共同协商解决存在问题。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lang w:val="en-US" w:eastAsia="zh-CN"/>
        </w:rPr>
        <w:t xml:space="preserve">  </w:t>
      </w:r>
      <w:r>
        <w:rPr>
          <w:rFonts w:hint="eastAsia" w:ascii="仿宋_GB2312" w:eastAsia="仿宋_GB2312"/>
          <w:sz w:val="32"/>
        </w:rPr>
        <w:t>对尚未正式移交的项目，项目单位根据需要，可在立项阶段向区建筑工务部门提出安排项目对接负责人提前介入、协助开展前期工作的需求，区建筑工务部门根据项目情况予以支持。移交前的主体责任仍由项目单位承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行政代建项目原则上应当整体移交，移交内容主要包括：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合同移交：原则上由项目单位签署且尚未履行完成的相关合同应统一移交，可根据实际签署补充协议或三方协议。合同存在争议或纠纷的，应由项目单位解决后再办理合同移交。已履行完成的合同，由项目单位负责结算，并将相关资料移交区建筑工务部门纳入竣工决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（二）财务资金移交：双方财务人员应做好财务交接，明确项目已划拨款项、使用情况和移交资金数额。特殊情况应事先向区发展改革、财政、审计等有关部门征求意见并充分沟通。</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（三）文件档案移交：项目单位应列出移交清单并分类移交，包括但不限于前期批复文件、设计方案、公函、合同及其他必要的文件档案。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（四）场地移交：双方应根据需要实地踏勘现场情况，了解场地实际，对临时设施、水电、道路、围墙、场地平整、保安等进行核查、描述，并明确场地移交时间，双方负责人签订移交清单。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（五）人员对接：项目单位应指派项目负责人全程跟进项目建设，与区建筑工务部门建立通畅的沟通渠道。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特殊情况确需分阶段移交的，双方应友好协商，划分工作界面、明确任务分工，做好移交节点安排。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lang w:val="en-US" w:eastAsia="zh-CN"/>
        </w:rPr>
        <w:t xml:space="preserve">  </w:t>
      </w:r>
      <w:r>
        <w:rPr>
          <w:rFonts w:hint="eastAsia" w:ascii="仿宋_GB2312" w:eastAsia="仿宋_GB2312"/>
          <w:sz w:val="32"/>
        </w:rPr>
        <w:t>项目移交完成后，区建筑工务部门可代表项目单位开展报批报建、组织实施项目建设。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行政代建项目如采用全过程工程咨询模式的，可按项目管理费用加专业咨询服务费用计费。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区建筑工务部门应当依法依规开展招标采购。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实施过程中确需设计变更的，区建筑工务部门应当切实履行主体责任，会同设计单位、监理单位、施工单位共同确认。影响建设规模、标准和功能等的重大、关键性设计变更应当经项目单位确认。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项目建成后，区建筑工务部门应当按照有关规定组织工程验收和备案。工程验收包括政府投资项目竣（完）工验收以及规划、消防、环保、特种设备等有关工程专项验收。未经工程验收或者验收不合格的，不得交付使用。区建筑工务部门应在项目工程验收合格后10日内向项目单位移交项目实物清单、使用说明等相关资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区建筑工务部门应当按照区政府投资项目结决算审核相关规定，做好工程结算和竣工决算工作。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项目竣工验收合格后，由项目单位会同区建筑工务部门按规定办理资产移交手续。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区建筑工务部门应当按照有关规定收集、整理、归档项目建设各阶段的文件资料，规范建立项目档案，并依法移交档案管理部门。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项目交付使用后，项目单位负责项目维护管理，在合同约定的保修责任期限和保修范围内，由区建筑工务部门负责组织保修工作。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责任划分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项目单位主要职责：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（一）开展项目前期需求研究，明确建设内容、使用功能、特殊或专用的设施设备要求等；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（二）负责完成项目建议书报批、可行性报告报审；</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（三）根据实际需要，负责办理用地预审与选址意见书、林地许可、征地拆迁、土地划拨决定书或签订土地使用权出让合同、规划设计要点、建设用地规划许可证、地名批复（建筑物命名）等前期报批报建手续；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（四）主导项目方案设计、报会审议，与区建筑工务部门共同对设计成果进行确认；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（五）在区建筑工务部门开展施工图设计前最终确定项目建设需求；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（六）参与并配合区建筑工务部门确定相关选材、主要设备参数等；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（七）参与并配合对影响建设规模、标准和功能等的重大、关键性设计变更予以确认；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（八）其他经双方共同商定的责任和分工。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区建筑工务部门主要职责：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（一）负责项目的组织实施和监督管理；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（二）参与项目可行性研究报告的编制，协助项目单位办理前期报批报建手续；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（三）负责办理与建设相关的、专业性较强的施工、环保、消防、绿化、树木迁移等报批报建手续；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（四）负责组织完成设计、招标、建设、工程验收、工程结算、竣工决算、产权登记、资产移交、保修等工作；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（五）全面负责进度管理、质量管理、安全管理、投资控制等，并对代建项目的质量和安全承担主体责任。</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（六）落实区委区政府决策部署，及履行本单位职责应当承担的其他工作内容。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w:t>
      </w: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1</w:t>
      </w:r>
      <w:r>
        <w:rPr>
          <w:rFonts w:hint="eastAsia" w:ascii="仿宋_GB2312" w:eastAsia="仿宋_GB2312"/>
          <w:sz w:val="32"/>
          <w:szCs w:val="32"/>
          <w:lang w:eastAsia="zh-CN"/>
        </w:rPr>
        <w:t>．</w:t>
      </w:r>
      <w:r>
        <w:rPr>
          <w:rFonts w:hint="eastAsia" w:ascii="仿宋_GB2312" w:eastAsia="仿宋_GB2312"/>
          <w:sz w:val="32"/>
        </w:rPr>
        <w:t>福田区行政代建项目委托建设移交书</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2</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项目需求阶段情况表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3</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项目移交资料清单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bidi w:val="0"/>
        <w:adjustRightInd/>
        <w:snapToGrid/>
        <w:spacing w:line="579" w:lineRule="exact"/>
        <w:textAlignment w:val="auto"/>
        <w:rPr>
          <w:rFonts w:hint="default" w:ascii="黑体" w:hAnsi="黑体" w:eastAsia="黑体" w:cs="Times New Roman"/>
          <w:color w:val="auto"/>
          <w:sz w:val="32"/>
          <w:szCs w:val="32"/>
          <w:shd w:val="clear" w:color="auto" w:fill="FFFFFF"/>
          <w:lang w:val="en-US" w:eastAsia="zh-CN" w:bidi="ar-SA"/>
        </w:rPr>
      </w:pPr>
      <w:r>
        <w:rPr>
          <w:rFonts w:hint="eastAsia" w:ascii="仿宋_GB2312" w:eastAsia="仿宋_GB2312"/>
          <w:sz w:val="32"/>
        </w:rPr>
        <w:br w:type="page"/>
      </w:r>
      <w:r>
        <w:rPr>
          <w:rFonts w:hint="eastAsia" w:ascii="黑体" w:hAnsi="黑体" w:eastAsia="黑体" w:cs="Times New Roman"/>
          <w:color w:val="auto"/>
          <w:sz w:val="32"/>
          <w:szCs w:val="32"/>
          <w:shd w:val="clear" w:color="auto" w:fill="FFFFFF"/>
          <w:lang w:eastAsia="zh-CN"/>
        </w:rPr>
        <w:t>附件1-</w:t>
      </w:r>
      <w:r>
        <w:rPr>
          <w:rFonts w:hint="eastAsia" w:ascii="黑体" w:hAnsi="黑体" w:eastAsia="黑体" w:cs="Times New Roman"/>
          <w:color w:val="auto"/>
          <w:sz w:val="32"/>
          <w:szCs w:val="32"/>
          <w:shd w:val="clear" w:color="auto" w:fill="FFFFFF"/>
          <w:lang w:val="en-US" w:eastAsia="zh-CN"/>
        </w:rPr>
        <w:t>1</w:t>
      </w:r>
    </w:p>
    <w:p>
      <w:pPr>
        <w:keepNext w:val="0"/>
        <w:keepLines w:val="0"/>
        <w:pageBreakBefore w:val="0"/>
        <w:widowControl w:val="0"/>
        <w:kinsoku/>
        <w:wordWrap/>
        <w:overflowPunct/>
        <w:topLinePunct w:val="0"/>
        <w:bidi w:val="0"/>
        <w:adjustRightInd/>
        <w:snapToGrid/>
        <w:spacing w:line="579" w:lineRule="exact"/>
        <w:textAlignment w:val="auto"/>
        <w:rPr>
          <w:rFonts w:hint="eastAsia" w:ascii="方正小标宋简体" w:hAnsi="方正小标宋简体" w:eastAsia="方正小标宋简体" w:cs="Times New Roman"/>
          <w:color w:val="auto"/>
          <w:sz w:val="44"/>
          <w:szCs w:val="44"/>
          <w:shd w:val="clear" w:color="auto" w:fill="FFFFFF"/>
          <w:lang w:eastAsia="zh-CN"/>
        </w:rPr>
      </w:pP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_GBK" w:hAnsi="方正小标宋_GBK" w:eastAsia="方正小标宋_GBK" w:cs="方正小标宋_GBK"/>
          <w:color w:val="auto"/>
          <w:sz w:val="21"/>
          <w:szCs w:val="21"/>
          <w:lang w:eastAsia="zh-CN" w:bidi="ar-SA"/>
        </w:rPr>
      </w:pPr>
      <w:r>
        <w:rPr>
          <w:rFonts w:hint="eastAsia" w:ascii="方正小标宋_GBK" w:hAnsi="方正小标宋_GBK" w:eastAsia="方正小标宋_GBK" w:cs="方正小标宋_GBK"/>
          <w:color w:val="auto"/>
          <w:sz w:val="44"/>
          <w:szCs w:val="44"/>
          <w:lang w:val="zh-TW" w:eastAsia="zh-TW" w:bidi="zh-TW"/>
        </w:rPr>
        <w:t>福田区行政代建项目委托建设移交书</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PMingLiU" w:cs="Times New Roman"/>
          <w:color w:val="auto"/>
          <w:lang w:eastAsia="zh-TW" w:bidi="zh-TW"/>
        </w:rPr>
      </w:pPr>
    </w:p>
    <w:p>
      <w:pPr>
        <w:keepNext w:val="0"/>
        <w:keepLines w:val="0"/>
        <w:pageBreakBefore w:val="0"/>
        <w:widowControl w:val="0"/>
        <w:kinsoku/>
        <w:wordWrap/>
        <w:overflowPunct/>
        <w:topLinePunct w:val="0"/>
        <w:bidi w:val="0"/>
        <w:adjustRightInd/>
        <w:snapToGrid/>
        <w:spacing w:line="579" w:lineRule="exact"/>
        <w:jc w:val="both"/>
        <w:textAlignment w:val="auto"/>
        <w:rPr>
          <w:rFonts w:ascii="仿宋_GB2312" w:hAnsi="Times New Roman" w:eastAsia="仿宋_GB2312" w:cs="Times New Roman"/>
          <w:color w:val="auto"/>
          <w:sz w:val="32"/>
          <w:szCs w:val="32"/>
          <w:lang w:eastAsia="zh-CN" w:bidi="ar-SA"/>
        </w:rPr>
      </w:pPr>
      <w:r>
        <w:rPr>
          <w:rFonts w:hint="eastAsia" w:ascii="仿宋_GB2312" w:hAnsi="Times New Roman" w:eastAsia="仿宋_GB2312" w:cs="Times New Roman"/>
          <w:color w:val="auto"/>
          <w:sz w:val="32"/>
          <w:szCs w:val="32"/>
          <w:lang w:eastAsia="zh-CN"/>
        </w:rPr>
        <w:t>福田区建筑工务署：</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区委、区政府已决策同意</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项目启动，按照福田区政府投资项目相关管理规定，该项目移交至贵署组织全过程的建设实施。为确保项目无缝交接，现就移交工作事宜说明如下：</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一、移交项目名称</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工程名称：</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二、移交项目概况</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三、项目移交依据</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根据</w:t>
      </w:r>
      <w:r>
        <w:rPr>
          <w:rFonts w:hint="eastAsia" w:ascii="仿宋_GB2312" w:hAnsi="Times New Roman" w:eastAsia="仿宋_GB2312" w:cs="Times New Roman"/>
          <w:color w:val="auto"/>
          <w:sz w:val="32"/>
          <w:szCs w:val="32"/>
          <w:u w:val="single"/>
          <w:lang w:eastAsia="zh-CN"/>
        </w:rPr>
        <w:t xml:space="preserve">  （XXX会议纪要或相关文件）要</w:t>
      </w:r>
      <w:r>
        <w:rPr>
          <w:rFonts w:hint="eastAsia" w:ascii="仿宋_GB2312" w:hAnsi="Times New Roman" w:eastAsia="仿宋_GB2312" w:cs="Times New Roman"/>
          <w:color w:val="auto"/>
          <w:sz w:val="32"/>
          <w:szCs w:val="32"/>
          <w:lang w:eastAsia="zh-CN"/>
        </w:rPr>
        <w:t xml:space="preserve">求，现将该项目移交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开展下一步工作。</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四、项目需求和相关资料</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移交项目的需求和具体资料（详见附件</w:t>
      </w: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lang w:eastAsia="zh-CN"/>
        </w:rPr>
        <w:t>和附件</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eastAsia="zh-CN"/>
        </w:rPr>
        <w:t>）已由</w:t>
      </w:r>
      <w:r>
        <w:rPr>
          <w:rFonts w:hint="eastAsia" w:ascii="仿宋_GB2312" w:hAnsi="Times New Roman" w:eastAsia="仿宋_GB2312" w:cs="Times New Roman"/>
          <w:color w:val="auto"/>
          <w:spacing w:val="11"/>
          <w:sz w:val="32"/>
          <w:szCs w:val="32"/>
          <w:lang w:eastAsia="zh-CN"/>
        </w:rPr>
        <w:t>（</w:t>
      </w:r>
      <w:r>
        <w:rPr>
          <w:rFonts w:hint="eastAsia" w:ascii="仿宋_GB2312" w:hAnsi="Times New Roman" w:eastAsia="仿宋_GB2312" w:cs="Times New Roman"/>
          <w:color w:val="auto"/>
          <w:spacing w:val="11"/>
          <w:sz w:val="32"/>
          <w:szCs w:val="32"/>
          <w:u w:val="single"/>
          <w:lang w:eastAsia="zh-CN"/>
        </w:rPr>
        <w:t>移交方项目负责人</w:t>
      </w:r>
      <w:r>
        <w:rPr>
          <w:rFonts w:hint="eastAsia" w:ascii="仿宋_GB2312" w:hAnsi="Times New Roman" w:eastAsia="仿宋_GB2312" w:cs="Times New Roman"/>
          <w:color w:val="auto"/>
          <w:spacing w:val="11"/>
          <w:sz w:val="32"/>
          <w:szCs w:val="32"/>
          <w:lang w:eastAsia="zh-CN"/>
        </w:rPr>
        <w:t>）和（</w:t>
      </w:r>
      <w:r>
        <w:rPr>
          <w:rFonts w:hint="eastAsia" w:ascii="仿宋_GB2312" w:hAnsi="Times New Roman" w:eastAsia="仿宋_GB2312" w:cs="Times New Roman"/>
          <w:color w:val="auto"/>
          <w:spacing w:val="11"/>
          <w:sz w:val="32"/>
          <w:szCs w:val="32"/>
          <w:u w:val="single"/>
          <w:lang w:eastAsia="zh-CN"/>
        </w:rPr>
        <w:t>接收方项目负责人</w:t>
      </w:r>
      <w:r>
        <w:rPr>
          <w:rFonts w:hint="eastAsia" w:ascii="仿宋_GB2312" w:hAnsi="Times New Roman" w:eastAsia="仿宋_GB2312" w:cs="Times New Roman"/>
          <w:color w:val="auto"/>
          <w:spacing w:val="11"/>
          <w:sz w:val="32"/>
          <w:szCs w:val="32"/>
          <w:lang w:eastAsia="zh-CN"/>
        </w:rPr>
        <w:t>）于</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日进行现场确认，并已完成项目资料签收。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五、前期委托事项</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lang w:eastAsia="zh-CN"/>
        </w:rPr>
        <w:t>前期是否有委托相关咨询单位：</w:t>
      </w:r>
      <w:r>
        <w:rPr>
          <w:rFonts w:hint="eastAsia" w:ascii="仿宋_GB2312" w:hAnsi="Times New Roman" w:eastAsia="仿宋_GB2312" w:cs="Times New Roman"/>
          <w:color w:val="auto"/>
          <w:sz w:val="32"/>
          <w:szCs w:val="32"/>
          <w:u w:val="single"/>
          <w:lang w:eastAsia="zh-CN"/>
        </w:rPr>
        <w:t>（是/否）；</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前期咨询单位 </w:t>
      </w:r>
      <w:r>
        <w:rPr>
          <w:rFonts w:hint="eastAsia" w:ascii="仿宋_GB2312" w:hAnsi="Times New Roman" w:eastAsia="仿宋_GB2312" w:cs="Times New Roman"/>
          <w:color w:val="auto"/>
          <w:sz w:val="32"/>
          <w:szCs w:val="32"/>
          <w:lang w:eastAsia="zh-CN"/>
        </w:rPr>
        <w:t>负责的</w:t>
      </w:r>
      <w:r>
        <w:rPr>
          <w:rFonts w:hint="eastAsia" w:ascii="仿宋_GB2312" w:hAnsi="Times New Roman" w:eastAsia="仿宋_GB2312" w:cs="Times New Roman"/>
          <w:color w:val="auto"/>
          <w:sz w:val="32"/>
          <w:szCs w:val="32"/>
          <w:u w:val="single"/>
          <w:lang w:eastAsia="zh-CN"/>
        </w:rPr>
        <w:t xml:space="preserve"> 前期咨询事项合同 </w:t>
      </w:r>
      <w:r>
        <w:rPr>
          <w:rFonts w:hint="eastAsia" w:ascii="仿宋_GB2312" w:hAnsi="Times New Roman" w:eastAsia="仿宋_GB2312" w:cs="Times New Roman"/>
          <w:color w:val="auto"/>
          <w:sz w:val="32"/>
          <w:szCs w:val="32"/>
          <w:lang w:eastAsia="zh-CN"/>
        </w:rPr>
        <w:t>已由移交方项目负责人于</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年</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日移交至接收方项目负责人。</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六、职责说明</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项目移交后，</w:t>
      </w:r>
      <w:r>
        <w:rPr>
          <w:rFonts w:hint="eastAsia" w:ascii="仿宋_GB2312" w:hAnsi="Times New Roman" w:eastAsia="仿宋_GB2312" w:cs="Times New Roman"/>
          <w:color w:val="auto"/>
          <w:sz w:val="32"/>
          <w:szCs w:val="32"/>
          <w:u w:val="single"/>
          <w:lang w:eastAsia="zh-CN"/>
        </w:rPr>
        <w:t xml:space="preserve"> 移交单位名称 </w:t>
      </w:r>
      <w:r>
        <w:rPr>
          <w:rFonts w:hint="eastAsia" w:ascii="仿宋_GB2312" w:hAnsi="Times New Roman" w:eastAsia="仿宋_GB2312" w:cs="Times New Roman"/>
          <w:color w:val="auto"/>
          <w:sz w:val="32"/>
          <w:szCs w:val="32"/>
          <w:lang w:eastAsia="zh-CN"/>
        </w:rPr>
        <w:t>的权利和义务移交至</w:t>
      </w:r>
      <w:r>
        <w:rPr>
          <w:rFonts w:hint="eastAsia" w:ascii="仿宋_GB2312" w:hAnsi="Times New Roman" w:eastAsia="仿宋_GB2312" w:cs="Times New Roman"/>
          <w:color w:val="auto"/>
          <w:sz w:val="32"/>
          <w:szCs w:val="32"/>
          <w:u w:val="single"/>
          <w:lang w:eastAsia="zh-CN"/>
        </w:rPr>
        <w:t xml:space="preserve"> 接收单位名称</w:t>
      </w: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u w:val="single"/>
          <w:lang w:eastAsia="zh-CN"/>
        </w:rPr>
        <w:t>接收单位名称</w:t>
      </w:r>
      <w:r>
        <w:rPr>
          <w:rFonts w:hint="eastAsia" w:ascii="仿宋_GB2312" w:hAnsi="Times New Roman" w:eastAsia="仿宋_GB2312" w:cs="Times New Roman"/>
          <w:color w:val="auto"/>
          <w:sz w:val="32"/>
          <w:szCs w:val="32"/>
          <w:lang w:eastAsia="zh-CN"/>
        </w:rPr>
        <w:t>履行项目的建设单位职责。</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七、附件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项目需求阶段情况表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项目移交资料清单表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p>
    <w:p>
      <w:pPr>
        <w:keepNext w:val="0"/>
        <w:keepLines w:val="0"/>
        <w:pageBreakBefore w:val="0"/>
        <w:widowControl w:val="0"/>
        <w:kinsoku/>
        <w:wordWrap/>
        <w:overflowPunct/>
        <w:topLinePunct w:val="0"/>
        <w:bidi w:val="0"/>
        <w:adjustRightInd/>
        <w:snapToGrid/>
        <w:spacing w:line="579" w:lineRule="exact"/>
        <w:jc w:val="righ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移交单位（盖章）：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负责人（签字）：                  </w:t>
      </w:r>
    </w:p>
    <w:p>
      <w:pPr>
        <w:keepNext w:val="0"/>
        <w:keepLines w:val="0"/>
        <w:pageBreakBefore w:val="0"/>
        <w:widowControl w:val="0"/>
        <w:kinsoku/>
        <w:wordWrap/>
        <w:overflowPunct/>
        <w:topLinePunct w:val="0"/>
        <w:autoSpaceDE w:val="0"/>
        <w:autoSpaceDN w:val="0"/>
        <w:bidi w:val="0"/>
        <w:adjustRightInd/>
        <w:snapToGrid/>
        <w:spacing w:before="0" w:line="579" w:lineRule="exact"/>
        <w:ind w:left="0" w:leftChars="0" w:firstLine="62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sz w:val="32"/>
          <w:szCs w:val="32"/>
          <w:lang w:eastAsia="zh-CN"/>
        </w:rPr>
        <w:t xml:space="preserve">                                 年    月    日 </w:t>
      </w:r>
      <w:r>
        <w:rPr>
          <w:rFonts w:hint="eastAsia" w:ascii="仿宋_GB2312" w:hAnsi="Times New Roman" w:eastAsia="仿宋_GB2312" w:cs="Times New Roman"/>
          <w:color w:val="auto"/>
          <w:sz w:val="28"/>
          <w:szCs w:val="28"/>
          <w:lang w:eastAsia="zh-CN"/>
        </w:rPr>
        <w:t xml:space="preserve">            </w:t>
      </w:r>
    </w:p>
    <w:p>
      <w:pPr>
        <w:widowControl w:val="0"/>
        <w:spacing w:before="6" w:after="120"/>
        <w:rPr>
          <w:rFonts w:hint="default" w:ascii="黑体" w:hAnsi="黑体" w:eastAsia="黑体" w:cs="仿宋_GB2312"/>
          <w:color w:val="auto"/>
          <w:kern w:val="2"/>
          <w:sz w:val="32"/>
          <w:szCs w:val="32"/>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1-2</w:t>
      </w:r>
    </w:p>
    <w:p>
      <w:pPr>
        <w:widowControl w:val="0"/>
        <w:spacing w:before="9" w:after="120"/>
        <w:jc w:val="center"/>
        <w:rPr>
          <w:rFonts w:hint="eastAsia" w:ascii="方正小标宋_GBK" w:hAnsi="方正小标宋_GBK" w:eastAsia="方正小标宋_GBK" w:cs="方正小标宋_GBK"/>
          <w:color w:val="auto"/>
          <w:kern w:val="2"/>
          <w:sz w:val="44"/>
          <w:szCs w:val="44"/>
          <w:shd w:val="clear" w:color="auto" w:fill="FFFFFF"/>
          <w:lang w:val="en-US" w:eastAsia="zh-CN" w:bidi="ar-SA"/>
        </w:rPr>
      </w:pPr>
      <w:r>
        <w:rPr>
          <w:rFonts w:hint="eastAsia" w:ascii="方正小标宋_GBK" w:hAnsi="方正小标宋_GBK" w:eastAsia="方正小标宋_GBK" w:cs="方正小标宋_GBK"/>
          <w:color w:val="auto"/>
          <w:kern w:val="2"/>
          <w:sz w:val="32"/>
          <w:szCs w:val="32"/>
          <w:u w:val="single"/>
          <w:lang w:val="en-US" w:eastAsia="zh-CN" w:bidi="ar-SA"/>
        </w:rPr>
        <w:t xml:space="preserve">         </w:t>
      </w:r>
      <w:r>
        <w:rPr>
          <w:rFonts w:hint="eastAsia" w:ascii="方正小标宋_GBK" w:hAnsi="方正小标宋_GBK" w:eastAsia="方正小标宋_GBK" w:cs="方正小标宋_GBK"/>
          <w:color w:val="auto"/>
          <w:kern w:val="2"/>
          <w:sz w:val="44"/>
          <w:szCs w:val="44"/>
          <w:shd w:val="clear" w:color="auto" w:fill="FFFFFF"/>
          <w:lang w:val="en-US" w:eastAsia="zh-CN" w:bidi="ar-SA"/>
        </w:rPr>
        <w:t>项目需求阶段情况表</w:t>
      </w:r>
    </w:p>
    <w:tbl>
      <w:tblPr>
        <w:tblStyle w:val="10"/>
        <w:tblW w:w="885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8"/>
        <w:gridCol w:w="46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项目名称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提出单位</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规划依据</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初步选址意向</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建设规模及内容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建设标准</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投资估算</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705" w:right="96" w:hanging="58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建设必要性描述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建设用地属性</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建设用地产权情况与地面现况</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34" w:right="96" w:hanging="11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考核任务及考核时间节点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7"/>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（所申报项目有考核任务的，必须填报此项，并提供相应依据）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☆消防资料、原址建筑相关图纸等</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87" w:right="40" w:hanging="531"/>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项目拟建成时间</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中央、省、市、区要求实施该项目的文件（有则进行表述，并提供附件）</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联系人及电话</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val="0"/>
        <w:snapToGrid w:val="0"/>
        <w:spacing w:before="176" w:beforeLines="30" w:line="240" w:lineRule="auto"/>
        <w:ind w:left="0" w:leftChars="0" w:firstLine="46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kern w:val="2"/>
          <w:sz w:val="24"/>
          <w:szCs w:val="24"/>
          <w:lang w:val="en-US" w:eastAsia="zh-CN" w:bidi="ar-SA"/>
        </w:rPr>
        <w:t>注：项目选址可能涉及旧有建筑设施的需填写带☆号栏，带※号的为选填项。如有更多相关资料提供，可作为附件材料提供。</w:t>
      </w:r>
    </w:p>
    <w:p>
      <w:pPr>
        <w:keepNext w:val="0"/>
        <w:keepLines w:val="0"/>
        <w:pageBreakBefore w:val="0"/>
        <w:widowControl w:val="0"/>
        <w:kinsoku/>
        <w:wordWrap/>
        <w:overflowPunct/>
        <w:topLinePunct w:val="0"/>
        <w:autoSpaceDE/>
        <w:autoSpaceDN/>
        <w:bidi w:val="0"/>
        <w:adjustRightInd w:val="0"/>
        <w:snapToGrid w:val="0"/>
        <w:textAlignment w:val="auto"/>
        <w:rPr>
          <w:rStyle w:val="14"/>
          <w:rFonts w:hint="default" w:ascii="黑体" w:hAnsi="黑体" w:eastAsia="黑体" w:cs="Times New Roman"/>
          <w:color w:val="auto"/>
          <w:kern w:val="2"/>
          <w:sz w:val="21"/>
          <w:szCs w:val="24"/>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1-3</w:t>
      </w:r>
    </w:p>
    <w:p>
      <w:pPr>
        <w:widowControl w:val="0"/>
        <w:spacing w:before="9" w:after="120"/>
        <w:jc w:val="center"/>
        <w:rPr>
          <w:rFonts w:ascii="方正小标宋简体" w:hAnsi="方正小标宋简体" w:eastAsia="方正小标宋简体" w:cs="Times New Roman"/>
          <w:color w:val="auto"/>
          <w:kern w:val="2"/>
          <w:sz w:val="44"/>
          <w:szCs w:val="44"/>
          <w:shd w:val="clear" w:color="auto" w:fill="FFFFFF"/>
          <w:lang w:val="en-US" w:eastAsia="zh-CN" w:bidi="ar-SA"/>
        </w:rPr>
      </w:pPr>
      <w:r>
        <w:rPr>
          <w:rFonts w:hint="eastAsia" w:ascii="仿宋_GB2312" w:hAnsi="Times New Roman" w:eastAsia="仿宋_GB2312" w:cs="Times New Roman"/>
          <w:color w:val="auto"/>
          <w:kern w:val="2"/>
          <w:sz w:val="32"/>
          <w:szCs w:val="32"/>
          <w:u w:val="single"/>
          <w:lang w:val="en-US" w:eastAsia="zh-CN" w:bidi="ar-SA"/>
        </w:rPr>
        <w:t xml:space="preserve">          </w:t>
      </w:r>
      <w:r>
        <w:rPr>
          <w:rFonts w:hint="eastAsia" w:ascii="方正小标宋简体" w:hAnsi="方正小标宋简体" w:eastAsia="方正小标宋简体" w:cs="Times New Roman"/>
          <w:color w:val="auto"/>
          <w:kern w:val="2"/>
          <w:sz w:val="44"/>
          <w:szCs w:val="44"/>
          <w:shd w:val="clear" w:color="auto" w:fill="FFFFFF"/>
          <w:lang w:val="en-US" w:eastAsia="zh-CN" w:bidi="ar-SA"/>
        </w:rPr>
        <w:t>项目移交资料清单</w:t>
      </w:r>
    </w:p>
    <w:tbl>
      <w:tblPr>
        <w:tblStyle w:val="10"/>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708"/>
        <w:gridCol w:w="718"/>
        <w:gridCol w:w="2126"/>
        <w:gridCol w:w="1134"/>
        <w:gridCol w:w="1134"/>
        <w:gridCol w:w="141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70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文件类别</w:t>
            </w:r>
          </w:p>
        </w:tc>
        <w:tc>
          <w:tcPr>
            <w:tcW w:w="7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序号</w:t>
            </w:r>
          </w:p>
        </w:tc>
        <w:tc>
          <w:tcPr>
            <w:tcW w:w="2126"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文件字号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原件份数</w:t>
            </w:r>
          </w:p>
        </w:tc>
        <w:tc>
          <w:tcPr>
            <w:tcW w:w="14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复印件份数</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建设需求文件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项目基础资料文件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项目用地资料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产权资料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规划设计资料（如有）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原始审批备案文件（如有）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改造后竣工图及相关验收材料（如有）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二次改造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立项文件依据</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会议纪要</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年度政府投资计划</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项目建议书批复</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已经开展阶段性工作文件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已完成的设计成果资料（如有）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合同</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已签署的相关协议文件（如有）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财务</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支付清单</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其他</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移交单位</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接收单位</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经 办 人</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经 办 人</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移交时间</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接收时间</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填写须知</w:t>
            </w:r>
          </w:p>
        </w:tc>
        <w:tc>
          <w:tcPr>
            <w:tcW w:w="7097" w:type="dxa"/>
            <w:gridSpan w:val="6"/>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1、本资料清单仅作为资料交接。</w:t>
            </w:r>
          </w:p>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2、本资料清单可根据项目性质进行调整。</w:t>
            </w:r>
          </w:p>
        </w:tc>
      </w:tr>
    </w:tbl>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w:t>
      </w:r>
      <w:bookmarkStart w:id="388" w:name="_GoBack"/>
      <w:bookmarkEnd w:id="388"/>
      <w:r>
        <w:rPr>
          <w:rFonts w:hint="eastAsia" w:ascii="仿宋_GB2312" w:eastAsia="仿宋_GB2312"/>
          <w:sz w:val="32"/>
        </w:rPr>
        <w:t>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100" w:leftChars="-5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581" w:beforeLines="10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0"/>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2453"/>
            <w:bookmarkStart w:id="1" w:name="_Toc12742"/>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11132"/>
            <w:bookmarkStart w:id="5" w:name="_Toc30653"/>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24234"/>
            <w:bookmarkStart w:id="11" w:name="_Toc17577"/>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3697"/>
            <w:bookmarkStart w:id="15" w:name="_Toc15002"/>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19913"/>
            <w:bookmarkStart w:id="17" w:name="_Toc4090"/>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31232"/>
            <w:bookmarkStart w:id="19" w:name="_Toc11987"/>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7779"/>
            <w:bookmarkStart w:id="21" w:name="_Toc9978"/>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12376"/>
            <w:bookmarkStart w:id="23" w:name="_Toc31254"/>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0092"/>
            <w:bookmarkStart w:id="25" w:name="_Toc24857"/>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22075"/>
            <w:bookmarkStart w:id="27" w:name="_Toc32703"/>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15854"/>
            <w:bookmarkStart w:id="29" w:name="_Toc273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0333"/>
            <w:bookmarkStart w:id="31" w:name="_Toc24248"/>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5090"/>
            <w:bookmarkStart w:id="33" w:name="_Toc16887"/>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8026"/>
            <w:bookmarkStart w:id="37" w:name="_Toc20185"/>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147"/>
            <w:bookmarkStart w:id="39" w:name="_Toc17472"/>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11156"/>
            <w:bookmarkStart w:id="41" w:name="_Toc26843"/>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22429"/>
            <w:bookmarkStart w:id="43" w:name="_Toc6767"/>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11526"/>
            <w:bookmarkStart w:id="45" w:name="_Toc29220"/>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5722"/>
            <w:bookmarkStart w:id="47" w:name="_Toc11959"/>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14454"/>
            <w:bookmarkStart w:id="49" w:name="_Toc557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15624"/>
            <w:bookmarkStart w:id="51" w:name="_Toc32053"/>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7601"/>
            <w:bookmarkStart w:id="53" w:name="_Toc22949"/>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29189"/>
            <w:bookmarkStart w:id="55" w:name="_Toc978"/>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8112"/>
            <w:bookmarkStart w:id="57" w:name="_Toc355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3725"/>
            <w:bookmarkStart w:id="67" w:name="_Toc877"/>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32443"/>
            <w:bookmarkStart w:id="71" w:name="_Toc9532"/>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20912"/>
            <w:bookmarkStart w:id="73" w:name="_Toc330"/>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9700"/>
            <w:bookmarkStart w:id="75" w:name="_Toc8278"/>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029"/>
            <w:bookmarkStart w:id="81" w:name="_Toc24191"/>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9021"/>
      <w:bookmarkStart w:id="83" w:name="_Toc15888"/>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15239"/>
      <w:bookmarkStart w:id="85" w:name="_Toc20766"/>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eastAsia="宋体"/>
          <w:color w:val="auto"/>
          <w:lang w:eastAsia="zh-CN"/>
        </w:rPr>
      </w:pPr>
      <w:bookmarkStart w:id="86" w:name="_Toc21033"/>
      <w:bookmarkStart w:id="87" w:name="_Toc18727"/>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3"/>
          <w:rFonts w:ascii="Times New Roman" w:hAnsi="Times New Roman" w:eastAsia="仿宋_GB2312" w:cs="Times New Roman"/>
          <w:color w:val="auto"/>
          <w:kern w:val="2"/>
          <w:sz w:val="36"/>
          <w:szCs w:val="30"/>
          <w:lang w:val="en-US" w:eastAsia="zh-CN" w:bidi="ar-SA"/>
        </w:rPr>
      </w:pPr>
      <w:bookmarkStart w:id="88" w:name="_Toc3136"/>
      <w:bookmarkStart w:id="89" w:name="_Toc23499"/>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2026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28426"/>
      <w:bookmarkStart w:id="91" w:name="_Toc16131"/>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16"/>
          <w:rFonts w:hint="default" w:ascii="Times New Roman" w:hAnsi="Times New Roman" w:eastAsia="宋体" w:cs="Times New Roman"/>
          <w:kern w:val="2"/>
          <w:lang w:eastAsia="zh-CN" w:bidi="ar-SA"/>
        </w:rPr>
      </w:pP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项目名称：</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建设地点：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项目投资：</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。（以</w:t>
      </w:r>
      <w:r>
        <w:rPr>
          <w:rStyle w:val="16"/>
          <w:rFonts w:hint="eastAsia" w:cs="Times New Roman"/>
          <w:kern w:val="2"/>
          <w:lang w:eastAsia="zh-CN" w:bidi="ar-SA"/>
        </w:rPr>
        <w:t>区发展改革部门</w:t>
      </w:r>
      <w:r>
        <w:rPr>
          <w:rStyle w:val="16"/>
          <w:rFonts w:hint="eastAsia" w:ascii="Times New Roman" w:hAnsi="Times New Roman" w:cs="Times New Roman"/>
          <w:kern w:val="2"/>
          <w:lang w:val="en-US" w:eastAsia="zh-CN" w:bidi="ar-SA"/>
        </w:rPr>
        <w:t>批复</w:t>
      </w:r>
      <w:r>
        <w:rPr>
          <w:rStyle w:val="16"/>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16"/>
          <w:rFonts w:hint="default" w:ascii="Times New Roman" w:hAnsi="Times New Roman" w:cs="Times New Roman"/>
          <w:kern w:val="2"/>
          <w:lang w:eastAsia="zh-CN" w:bidi="ar-SA"/>
        </w:rPr>
        <w:t>代建内容：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5948"/>
      <w:bookmarkStart w:id="93" w:name="_Toc28029"/>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5448"/>
      <w:bookmarkStart w:id="95" w:name="_Toc31006"/>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16"/>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16395"/>
      <w:bookmarkStart w:id="97" w:name="_Toc29380"/>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19235"/>
      <w:bookmarkStart w:id="99" w:name="_Toc3036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16"/>
          <w:rFonts w:hint="eastAsia" w:ascii="Times New Roman" w:hAnsi="Times New Roman" w:cs="Times New Roman"/>
          <w:kern w:val="2"/>
          <w:lang w:val="en-US" w:eastAsia="zh-CN" w:bidi="ar-SA"/>
        </w:rPr>
        <w:t>为准</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16"/>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⑤工期管理目标：本项目必须于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日前开工建设，工期从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日起计算，到项目完成竣工验收并移交</w:t>
      </w:r>
      <w:r>
        <w:rPr>
          <w:rStyle w:val="16"/>
          <w:rFonts w:hint="eastAsia" w:cs="Times New Roman"/>
          <w:kern w:val="2"/>
          <w:lang w:eastAsia="zh-CN" w:bidi="ar-SA"/>
        </w:rPr>
        <w:t>项目</w:t>
      </w:r>
      <w:r>
        <w:rPr>
          <w:rStyle w:val="16"/>
          <w:rFonts w:hint="default" w:ascii="Times New Roman" w:hAnsi="Times New Roman" w:cs="Times New Roman"/>
          <w:kern w:val="2"/>
          <w:lang w:eastAsia="zh-CN" w:bidi="ar-SA"/>
        </w:rPr>
        <w:t>单位之日止，总工期为</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16"/>
          <w:rFonts w:hint="default" w:ascii="Times New Roman" w:hAnsi="Times New Roman" w:cs="Times New Roman"/>
          <w:kern w:val="2"/>
          <w:lang w:eastAsia="zh-CN" w:bidi="ar-SA"/>
        </w:rPr>
        <w:t>⑥反腐保廉目标：严格遵守国家和省市区有关反腐保廉规定。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6312"/>
      <w:bookmarkStart w:id="105" w:name="_Toc24506"/>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0"/>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12254"/>
      <w:bookmarkStart w:id="107" w:name="_Toc973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6092"/>
      <w:bookmarkStart w:id="109" w:name="_Toc16281"/>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7632"/>
      <w:bookmarkStart w:id="111" w:name="_Toc11358"/>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14553"/>
      <w:bookmarkStart w:id="113" w:name="_Toc4589"/>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5279"/>
      <w:bookmarkStart w:id="115" w:name="_Toc11768"/>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23259"/>
      <w:bookmarkStart w:id="117" w:name="_Toc1576"/>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32192"/>
      <w:bookmarkStart w:id="125" w:name="_Toc9644"/>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具体履约评价的主要内容应参照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16"/>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16"/>
          <w:rFonts w:hint="eastAsia" w:ascii="仿宋_GB2312" w:hAnsi="仿宋_GB2312" w:eastAsia="仿宋_GB2312" w:cs="仿宋_GB2312"/>
          <w:kern w:val="2"/>
          <w:sz w:val="30"/>
          <w:szCs w:val="30"/>
          <w:lang w:val="en-US" w:eastAsia="zh-CN" w:bidi="ar-SA"/>
        </w:rPr>
        <w:t>追究违约责任</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16"/>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13383"/>
      <w:bookmarkStart w:id="129" w:name="_Toc8457"/>
      <w:r>
        <w:rPr>
          <w:rStyle w:val="16"/>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16"/>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16"/>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10424"/>
      <w:bookmarkStart w:id="133" w:name="_Toc9115"/>
      <w:r>
        <w:rPr>
          <w:rStyle w:val="16"/>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16"/>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6" w:name="_Toc1881"/>
      <w:bookmarkStart w:id="137" w:name="_Toc1325"/>
      <w:r>
        <w:rPr>
          <w:rStyle w:val="16"/>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16"/>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16"/>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16"/>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16"/>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19291"/>
      <w:bookmarkStart w:id="147" w:name="_Toc29204"/>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16"/>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0" w:name="_Toc26352"/>
      <w:bookmarkStart w:id="151" w:name="_Toc1866"/>
      <w:r>
        <w:rPr>
          <w:rStyle w:val="16"/>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16"/>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16"/>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2" w:name="_Toc4522"/>
      <w:bookmarkStart w:id="153" w:name="_Toc25860"/>
      <w:r>
        <w:rPr>
          <w:rStyle w:val="16"/>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4" w:name="_Toc14227"/>
      <w:r>
        <w:rPr>
          <w:rStyle w:val="16"/>
          <w:rFonts w:hint="eastAsia" w:ascii="仿宋_GB2312" w:hAnsi="仿宋_GB2312" w:eastAsia="仿宋_GB2312" w:cs="仿宋_GB2312"/>
          <w:b/>
          <w:bCs/>
          <w:kern w:val="2"/>
          <w:sz w:val="30"/>
          <w:szCs w:val="30"/>
          <w:lang w:eastAsia="zh-CN" w:bidi="ar-SA"/>
        </w:rPr>
        <w:t>2.4 协</w:t>
      </w:r>
      <w:r>
        <w:rPr>
          <w:rStyle w:val="16"/>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5" w:name="_Toc20584"/>
      <w:r>
        <w:rPr>
          <w:rStyle w:val="16"/>
          <w:rFonts w:hint="eastAsia" w:ascii="仿宋_GB2312" w:hAnsi="仿宋_GB2312" w:eastAsia="仿宋_GB2312" w:cs="仿宋_GB2312"/>
          <w:b/>
          <w:bCs/>
          <w:kern w:val="2"/>
          <w:sz w:val="30"/>
          <w:szCs w:val="30"/>
          <w:lang w:eastAsia="zh-CN" w:bidi="ar-SA"/>
        </w:rPr>
        <w:t>2.5 监督</w:t>
      </w:r>
      <w:r>
        <w:rPr>
          <w:rStyle w:val="16"/>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2.5.2 项目单位应督促代建单位</w:t>
      </w:r>
      <w:r>
        <w:rPr>
          <w:rStyle w:val="16"/>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16"/>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color w:val="000000"/>
          <w:kern w:val="2"/>
          <w:sz w:val="30"/>
          <w:szCs w:val="30"/>
          <w:lang w:val="en-US" w:eastAsia="zh-CN" w:bidi="ar-SA"/>
        </w:rPr>
      </w:pPr>
      <w:bookmarkStart w:id="156" w:name="_Toc19869"/>
      <w:bookmarkStart w:id="157" w:name="_Toc6442"/>
      <w:r>
        <w:rPr>
          <w:rStyle w:val="16"/>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0502"/>
      <w:bookmarkStart w:id="159" w:name="_Toc11349"/>
      <w:r>
        <w:rPr>
          <w:rStyle w:val="16"/>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16"/>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2" w:name="_Toc5141"/>
      <w:bookmarkStart w:id="163" w:name="_Toc30055"/>
      <w:r>
        <w:rPr>
          <w:rStyle w:val="16"/>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4" w:name="_Toc784"/>
      <w:bookmarkStart w:id="165" w:name="_Toc12519"/>
      <w:r>
        <w:rPr>
          <w:rStyle w:val="16"/>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6" w:name="_Toc8947"/>
      <w:bookmarkStart w:id="167" w:name="_Toc4921"/>
      <w:r>
        <w:rPr>
          <w:rStyle w:val="16"/>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68" w:name="_Toc17602"/>
      <w:bookmarkStart w:id="169" w:name="_Toc9523"/>
      <w:r>
        <w:rPr>
          <w:rStyle w:val="16"/>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16"/>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2" w:name="_Toc20250"/>
      <w:bookmarkStart w:id="173" w:name="_Toc11928"/>
      <w:r>
        <w:rPr>
          <w:rStyle w:val="16"/>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74" w:name="_Toc156"/>
      <w:bookmarkStart w:id="175" w:name="_Toc29077"/>
      <w:r>
        <w:rPr>
          <w:rStyle w:val="16"/>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76" w:name="_Toc11535"/>
      <w:bookmarkStart w:id="177" w:name="_Toc6073"/>
      <w:r>
        <w:rPr>
          <w:rStyle w:val="16"/>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17"/>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16"/>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16"/>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0" w:name="_Toc10120"/>
      <w:bookmarkStart w:id="181" w:name="_Toc7930"/>
      <w:r>
        <w:rPr>
          <w:rStyle w:val="16"/>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2" w:name="_Toc10962"/>
      <w:bookmarkStart w:id="183" w:name="_Toc14484"/>
      <w:r>
        <w:rPr>
          <w:rStyle w:val="16"/>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16"/>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16"/>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16"/>
          <w:rFonts w:hint="eastAsia" w:ascii="仿宋_GB2312" w:hAnsi="仿宋_GB2312" w:eastAsia="仿宋_GB2312" w:cs="仿宋_GB2312"/>
          <w:kern w:val="2"/>
          <w:sz w:val="30"/>
          <w:szCs w:val="30"/>
          <w:lang w:val="en-US" w:eastAsia="zh-CN" w:bidi="ar-SA"/>
        </w:rPr>
        <w:t>编制完成工程</w:t>
      </w:r>
      <w:r>
        <w:rPr>
          <w:rStyle w:val="16"/>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lang w:val="en-US" w:eastAsia="zh-CN" w:bidi="ar-SA"/>
        </w:rPr>
        <w:t>结算审核</w:t>
      </w:r>
      <w:r>
        <w:rPr>
          <w:rStyle w:val="16"/>
          <w:rFonts w:hint="eastAsia" w:ascii="仿宋_GB2312" w:hAnsi="仿宋_GB2312" w:eastAsia="仿宋_GB2312" w:cs="仿宋_GB2312"/>
          <w:kern w:val="2"/>
          <w:sz w:val="30"/>
          <w:szCs w:val="30"/>
          <w:lang w:eastAsia="zh-CN" w:bidi="ar-SA"/>
        </w:rPr>
        <w:t>后</w:t>
      </w:r>
      <w:r>
        <w:rPr>
          <w:rStyle w:val="16"/>
          <w:rFonts w:hint="eastAsia" w:ascii="仿宋_GB2312" w:hAnsi="仿宋_GB2312" w:eastAsia="仿宋_GB2312" w:cs="仿宋_GB2312"/>
          <w:kern w:val="2"/>
          <w:sz w:val="30"/>
          <w:szCs w:val="30"/>
          <w:lang w:val="en-US" w:eastAsia="zh-CN" w:bidi="ar-SA"/>
        </w:rPr>
        <w:t>三个月</w:t>
      </w:r>
      <w:r>
        <w:rPr>
          <w:rStyle w:val="16"/>
          <w:rFonts w:hint="eastAsia" w:ascii="仿宋_GB2312" w:hAnsi="仿宋_GB2312" w:eastAsia="仿宋_GB2312" w:cs="仿宋_GB2312"/>
          <w:kern w:val="2"/>
          <w:sz w:val="30"/>
          <w:szCs w:val="30"/>
          <w:lang w:eastAsia="zh-CN" w:bidi="ar-SA"/>
        </w:rPr>
        <w:t>内完成竣工决算报告的编制，并按照有关规定</w:t>
      </w:r>
      <w:r>
        <w:rPr>
          <w:rStyle w:val="16"/>
          <w:rFonts w:hint="eastAsia" w:ascii="仿宋_GB2312" w:hAnsi="仿宋_GB2312" w:eastAsia="仿宋_GB2312" w:cs="仿宋_GB2312"/>
          <w:kern w:val="2"/>
          <w:sz w:val="30"/>
          <w:szCs w:val="30"/>
          <w:lang w:val="en-US" w:eastAsia="zh-CN" w:bidi="ar-SA"/>
        </w:rPr>
        <w:t>报</w:t>
      </w:r>
      <w:r>
        <w:rPr>
          <w:rStyle w:val="16"/>
          <w:rFonts w:hint="eastAsia" w:ascii="仿宋_GB2312" w:hAnsi="仿宋_GB2312" w:eastAsia="仿宋_GB2312" w:cs="仿宋_GB2312"/>
          <w:kern w:val="2"/>
          <w:sz w:val="30"/>
          <w:szCs w:val="30"/>
          <w:lang w:eastAsia="zh-CN" w:bidi="ar-SA"/>
        </w:rPr>
        <w:t>结决算单位</w:t>
      </w:r>
      <w:r>
        <w:rPr>
          <w:rStyle w:val="16"/>
          <w:rFonts w:hint="eastAsia" w:ascii="仿宋_GB2312" w:hAnsi="仿宋_GB2312" w:eastAsia="仿宋_GB2312" w:cs="仿宋_GB2312"/>
          <w:kern w:val="2"/>
          <w:sz w:val="30"/>
          <w:szCs w:val="30"/>
          <w:lang w:val="en-US" w:eastAsia="zh-CN" w:bidi="ar-SA"/>
        </w:rPr>
        <w:t>审核</w:t>
      </w:r>
      <w:r>
        <w:rPr>
          <w:rStyle w:val="16"/>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16"/>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6" w:name="_Toc15810"/>
      <w:bookmarkStart w:id="187" w:name="_Toc27899"/>
      <w:r>
        <w:rPr>
          <w:rStyle w:val="16"/>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16"/>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0" w:name="_Toc15124"/>
      <w:bookmarkStart w:id="191" w:name="_Toc22027"/>
      <w:r>
        <w:rPr>
          <w:rStyle w:val="16"/>
          <w:rFonts w:hint="eastAsia" w:ascii="仿宋_GB2312" w:hAnsi="仿宋_GB2312" w:eastAsia="仿宋_GB2312" w:cs="仿宋_GB2312"/>
          <w:b/>
          <w:bCs/>
          <w:kern w:val="2"/>
          <w:sz w:val="30"/>
          <w:szCs w:val="30"/>
          <w:lang w:val="en-US" w:eastAsia="zh-CN" w:bidi="ar-SA"/>
        </w:rPr>
        <w:t xml:space="preserve">3.16 </w:t>
      </w:r>
      <w:r>
        <w:rPr>
          <w:rStyle w:val="17"/>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16"/>
          <w:rFonts w:hint="eastAsia" w:ascii="仿宋_GB2312" w:hAnsi="仿宋_GB2312" w:eastAsia="仿宋_GB2312" w:cs="仿宋_GB2312"/>
          <w:b/>
          <w:bCs/>
          <w:kern w:val="2"/>
          <w:sz w:val="30"/>
          <w:szCs w:val="30"/>
          <w:lang w:val="en-US" w:eastAsia="zh-CN" w:bidi="ar-SA"/>
        </w:rPr>
        <w:t xml:space="preserve">3.17 </w:t>
      </w:r>
      <w:r>
        <w:rPr>
          <w:rStyle w:val="17"/>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16"/>
          <w:rFonts w:hint="eastAsia" w:ascii="仿宋_GB2312" w:hAnsi="仿宋_GB2312" w:eastAsia="仿宋_GB2312" w:cs="仿宋_GB2312"/>
          <w:b/>
          <w:bCs/>
          <w:kern w:val="2"/>
          <w:sz w:val="30"/>
          <w:szCs w:val="30"/>
          <w:lang w:val="en-US" w:eastAsia="zh-CN" w:bidi="ar-SA"/>
        </w:rPr>
        <w:t xml:space="preserve">3.18 </w:t>
      </w:r>
      <w:r>
        <w:rPr>
          <w:rStyle w:val="17"/>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16"/>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16"/>
          <w:rFonts w:hint="eastAsia" w:ascii="仿宋_GB2312" w:hAnsi="仿宋_GB2312" w:eastAsia="仿宋_GB2312" w:cs="仿宋_GB2312"/>
          <w:b/>
          <w:bCs/>
          <w:kern w:val="2"/>
          <w:sz w:val="30"/>
          <w:szCs w:val="30"/>
          <w:lang w:val="en-US" w:eastAsia="zh-CN" w:bidi="ar-SA"/>
        </w:rPr>
        <w:t xml:space="preserve">3.19 </w:t>
      </w:r>
      <w:r>
        <w:rPr>
          <w:rStyle w:val="17"/>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8" w:name="_Toc1551"/>
      <w:bookmarkStart w:id="199" w:name="_Toc23804"/>
      <w:r>
        <w:rPr>
          <w:rStyle w:val="16"/>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16"/>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31826"/>
      <w:bookmarkStart w:id="205" w:name="_Toc15964"/>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16039"/>
      <w:bookmarkStart w:id="207" w:name="_Toc2076"/>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910"/>
      <w:bookmarkStart w:id="209" w:name="_Toc2128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2153"/>
      <w:bookmarkStart w:id="211" w:name="_Toc19156"/>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19647"/>
      <w:bookmarkStart w:id="213" w:name="_Toc9425"/>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23461"/>
      <w:bookmarkStart w:id="215" w:name="_Toc7563"/>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8494"/>
      <w:bookmarkStart w:id="217" w:name="_Toc16007"/>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00"/>
      <w:bookmarkStart w:id="219" w:name="_Toc1541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1516"/>
      <w:bookmarkStart w:id="221" w:name="_Toc21504"/>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21563"/>
      <w:bookmarkStart w:id="223" w:name="_Toc32638"/>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29115"/>
      <w:bookmarkStart w:id="225" w:name="_Toc13830"/>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6560"/>
      <w:bookmarkStart w:id="229" w:name="_Toc1533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31593"/>
      <w:bookmarkStart w:id="231" w:name="_Toc24642"/>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2815"/>
      <w:bookmarkStart w:id="233" w:name="_Toc1723"/>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6438"/>
      <w:bookmarkStart w:id="237" w:name="_Toc2037"/>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30675"/>
      <w:bookmarkStart w:id="241" w:name="_Toc1842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316"/>
      <w:bookmarkStart w:id="245" w:name="_Toc14833"/>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4556"/>
      <w:bookmarkStart w:id="247" w:name="_Toc28470"/>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6868"/>
      <w:bookmarkStart w:id="249" w:name="_Toc18269"/>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6229"/>
      <w:bookmarkStart w:id="251" w:name="_Toc18456"/>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30663"/>
      <w:bookmarkStart w:id="253" w:name="_Toc7174"/>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16"/>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16"/>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17"/>
          <w:rFonts w:hint="eastAsia" w:ascii="仿宋_GB2312" w:hAnsi="仿宋_GB2312" w:eastAsia="仿宋_GB2312" w:cs="仿宋_GB2312"/>
          <w:sz w:val="30"/>
          <w:szCs w:val="30"/>
        </w:rPr>
      </w:pPr>
      <w:r>
        <w:rPr>
          <w:rStyle w:val="17"/>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2257"/>
      <w:bookmarkStart w:id="255" w:name="_Toc11345"/>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9.3.1 优质工程认定</w:t>
      </w:r>
    </w:p>
    <w:p>
      <w:pPr>
        <w:pStyle w:val="3"/>
        <w:ind w:firstLine="602"/>
        <w:rPr>
          <w:rStyle w:val="16"/>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900"/>
      <w:bookmarkStart w:id="259" w:name="_Toc31968"/>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26038"/>
      <w:bookmarkStart w:id="263" w:name="_Toc8541"/>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12091"/>
      <w:bookmarkStart w:id="269" w:name="_Toc9809"/>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9586"/>
      <w:bookmarkStart w:id="279" w:name="_Toc12232"/>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3098"/>
      <w:bookmarkStart w:id="287" w:name="_Toc23077"/>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16725"/>
      <w:bookmarkStart w:id="293" w:name="_Toc2009"/>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3647"/>
      <w:bookmarkStart w:id="295" w:name="_Toc4914"/>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31628"/>
      <w:bookmarkStart w:id="297" w:name="_Toc8066"/>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4587"/>
      <w:bookmarkStart w:id="303" w:name="_Toc1369"/>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1114"/>
      <w:bookmarkStart w:id="307" w:name="_Toc21382"/>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28661"/>
      <w:bookmarkStart w:id="311" w:name="_Toc30458"/>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29702"/>
      <w:bookmarkStart w:id="313" w:name="_Toc15293"/>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13340"/>
      <w:bookmarkStart w:id="317" w:name="_Toc23691"/>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16"/>
          <w:rFonts w:hint="eastAsia" w:ascii="仿宋_GB2312" w:hAnsi="仿宋_GB2312" w:eastAsia="仿宋_GB2312" w:cs="仿宋_GB2312"/>
          <w:kern w:val="2"/>
          <w:sz w:val="30"/>
          <w:szCs w:val="30"/>
          <w:lang w:eastAsia="zh-CN" w:bidi="ar-SA"/>
        </w:rPr>
        <w:t>下：</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8348"/>
      <w:bookmarkStart w:id="319" w:name="_Toc20595"/>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（1）代建项目工期自</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（2）代建单位前期代建管理计划开始时间：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日；计划完成时间：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（3）代建单位建设实施计划开始时间：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日；计划项目移交时间：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19911"/>
      <w:bookmarkStart w:id="321" w:name="_Toc2374"/>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1.8.1 履约评价</w:t>
      </w:r>
      <w:r>
        <w:rPr>
          <w:rStyle w:val="16"/>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具体履约评价的主要事项应参照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4183"/>
      <w:bookmarkStart w:id="323" w:name="_Toc15091"/>
      <w:r>
        <w:rPr>
          <w:rStyle w:val="19"/>
          <w:rFonts w:hint="eastAsia" w:ascii="仿宋_GB2312" w:hAnsi="仿宋_GB2312" w:eastAsia="仿宋_GB2312" w:cs="仿宋_GB2312"/>
          <w:b/>
          <w:bCs/>
          <w:kern w:val="2"/>
          <w:sz w:val="30"/>
          <w:szCs w:val="30"/>
          <w:lang w:val="en-US" w:eastAsia="zh-CN" w:bidi="ar-SA"/>
        </w:rPr>
        <w:t xml:space="preserve">1.9 </w:t>
      </w:r>
      <w:r>
        <w:rPr>
          <w:rStyle w:val="17"/>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期限内向项目单位或项目单位授权的保险公司以及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单位和人员提供</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期限交给代建单位</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4260"/>
      <w:bookmarkStart w:id="327" w:name="_Toc12337"/>
      <w:r>
        <w:rPr>
          <w:rStyle w:val="19"/>
          <w:rFonts w:hint="eastAsia" w:ascii="仿宋_GB2312" w:hAnsi="仿宋_GB2312" w:eastAsia="仿宋_GB2312" w:cs="仿宋_GB2312"/>
          <w:b/>
          <w:bCs/>
          <w:kern w:val="2"/>
          <w:sz w:val="30"/>
          <w:szCs w:val="30"/>
          <w:lang w:val="en-US" w:eastAsia="zh-CN" w:bidi="ar-SA"/>
        </w:rPr>
        <w:t>2.6</w:t>
      </w:r>
      <w:r>
        <w:rPr>
          <w:rStyle w:val="17"/>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项目单位应履行以下其他义务：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17"/>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17"/>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3.6.1 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3.6.2 代建单位报送的保证最大工程费用报告后，项目单位应在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3.6.3 代建单位报送的保证最大工程费用额中列支的</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不应超过金额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27538"/>
      <w:bookmarkStart w:id="333" w:name="_Toc777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3828"/>
      <w:bookmarkStart w:id="335" w:name="_Toc21836"/>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16"/>
          <w:rFonts w:hint="eastAsia" w:ascii="仿宋_GB2312" w:hAnsi="仿宋_GB2312" w:eastAsia="仿宋_GB2312" w:cs="仿宋_GB2312"/>
          <w:kern w:val="2"/>
          <w:sz w:val="30"/>
          <w:szCs w:val="30"/>
          <w:lang w:eastAsia="zh-CN" w:bidi="ar-SA"/>
        </w:rPr>
        <w:t>，并在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相关人员信息证明文件扫描件：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 代建单位材料工程设备采购条款：</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19"/>
      <w:bookmarkStart w:id="339" w:name="_Toc22190"/>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代建单位为项目单位授权的保险公司以及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代建单位应于</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9600"/>
      <w:bookmarkStart w:id="343" w:name="_Toc27401"/>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代建单位应履行的其他义务：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13627"/>
      <w:bookmarkStart w:id="349" w:name="_Toc4732"/>
      <w:r>
        <w:rPr>
          <w:rStyle w:val="18"/>
          <w:rFonts w:hint="eastAsia" w:ascii="仿宋_GB2312" w:hAnsi="仿宋_GB2312" w:eastAsia="仿宋_GB2312" w:cs="仿宋_GB2312"/>
          <w:b/>
          <w:bCs/>
          <w:kern w:val="2"/>
          <w:sz w:val="30"/>
          <w:szCs w:val="30"/>
          <w:lang w:val="en-US" w:eastAsia="zh-CN" w:bidi="ar-SA"/>
        </w:rPr>
        <w:t xml:space="preserve">5. </w:t>
      </w:r>
      <w:r>
        <w:rPr>
          <w:rStyle w:val="17"/>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32356"/>
      <w:bookmarkStart w:id="351" w:name="_Toc19226"/>
      <w:r>
        <w:rPr>
          <w:rStyle w:val="19"/>
          <w:rFonts w:hint="eastAsia" w:ascii="仿宋_GB2312" w:hAnsi="仿宋_GB2312" w:eastAsia="仿宋_GB2312" w:cs="仿宋_GB2312"/>
          <w:b/>
          <w:bCs/>
          <w:kern w:val="2"/>
          <w:sz w:val="30"/>
          <w:szCs w:val="30"/>
          <w:lang w:val="en-US" w:eastAsia="zh-CN" w:bidi="ar-SA"/>
        </w:rPr>
        <w:t xml:space="preserve">5.4 </w:t>
      </w:r>
      <w:r>
        <w:rPr>
          <w:rStyle w:val="17"/>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环保工作内容：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3683"/>
      <w:bookmarkStart w:id="353" w:name="_Toc146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23861"/>
      <w:bookmarkStart w:id="355" w:name="_Toc10720"/>
      <w:r>
        <w:rPr>
          <w:rStyle w:val="19"/>
          <w:rFonts w:hint="eastAsia" w:ascii="仿宋_GB2312" w:hAnsi="仿宋_GB2312" w:eastAsia="仿宋_GB2312" w:cs="仿宋_GB2312"/>
          <w:b/>
          <w:bCs w:val="0"/>
          <w:kern w:val="2"/>
          <w:sz w:val="30"/>
          <w:szCs w:val="30"/>
          <w:lang w:val="en-US" w:eastAsia="zh-CN" w:bidi="ar-SA"/>
        </w:rPr>
        <w:t xml:space="preserve">6.1 </w:t>
      </w:r>
      <w:r>
        <w:rPr>
          <w:rStyle w:val="17"/>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除法律规定的验收标准外，本合同约定的其他验收条件：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0067"/>
      <w:bookmarkStart w:id="357" w:name="_Toc18050"/>
      <w:r>
        <w:rPr>
          <w:rStyle w:val="19"/>
          <w:rFonts w:hint="eastAsia" w:ascii="仿宋_GB2312" w:hAnsi="仿宋_GB2312" w:eastAsia="仿宋_GB2312" w:cs="仿宋_GB2312"/>
          <w:b/>
          <w:bCs/>
          <w:kern w:val="2"/>
          <w:sz w:val="30"/>
          <w:szCs w:val="30"/>
          <w:lang w:val="en-US" w:eastAsia="zh-CN" w:bidi="ar-SA"/>
        </w:rPr>
        <w:t xml:space="preserve">6.2 </w:t>
      </w:r>
      <w:r>
        <w:rPr>
          <w:rStyle w:val="17"/>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16"/>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16"/>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16"/>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16"/>
          <w:rFonts w:hint="eastAsia" w:ascii="仿宋_GB2312" w:hAnsi="仿宋_GB2312" w:eastAsia="仿宋_GB2312" w:cs="仿宋_GB2312"/>
          <w:kern w:val="2"/>
          <w:sz w:val="30"/>
          <w:szCs w:val="30"/>
          <w:lang w:eastAsia="zh-CN" w:bidi="ar-SA"/>
        </w:rPr>
        <w:t>他原因</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19"/>
          <w:rFonts w:hint="eastAsia" w:ascii="仿宋_GB2312" w:hAnsi="仿宋_GB2312" w:eastAsia="仿宋_GB2312" w:cs="仿宋_GB2312"/>
          <w:b/>
          <w:bCs/>
          <w:kern w:val="2"/>
          <w:sz w:val="30"/>
          <w:szCs w:val="30"/>
          <w:lang w:val="en-US" w:eastAsia="zh-CN" w:bidi="ar-SA"/>
        </w:rPr>
        <w:t xml:space="preserve">6.3 </w:t>
      </w:r>
      <w:r>
        <w:rPr>
          <w:rStyle w:val="17"/>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异常恶劣气候条件包括：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7024"/>
      <w:bookmarkStart w:id="361" w:name="_Toc14666"/>
      <w:r>
        <w:rPr>
          <w:rStyle w:val="19"/>
          <w:rFonts w:hint="eastAsia" w:ascii="仿宋_GB2312" w:hAnsi="仿宋_GB2312" w:eastAsia="仿宋_GB2312" w:cs="仿宋_GB2312"/>
          <w:b/>
          <w:bCs/>
          <w:kern w:val="2"/>
          <w:sz w:val="30"/>
          <w:szCs w:val="30"/>
          <w:lang w:val="en-US" w:eastAsia="zh-CN" w:bidi="ar-SA"/>
        </w:rPr>
        <w:t xml:space="preserve">6.4 </w:t>
      </w:r>
      <w:r>
        <w:rPr>
          <w:rStyle w:val="17"/>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逾期竣工违约金的计算方法：</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逾期竣工违约金最高限额：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由工期延误导致的其他损失赔偿：</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23108"/>
      <w:bookmarkStart w:id="363" w:name="_Toc30935"/>
      <w:r>
        <w:rPr>
          <w:rStyle w:val="18"/>
          <w:rFonts w:hint="eastAsia" w:ascii="仿宋_GB2312" w:hAnsi="仿宋_GB2312" w:eastAsia="仿宋_GB2312" w:cs="仿宋_GB2312"/>
          <w:b/>
          <w:bCs/>
          <w:kern w:val="2"/>
          <w:sz w:val="30"/>
          <w:szCs w:val="30"/>
          <w:lang w:val="en-US" w:eastAsia="zh-CN" w:bidi="ar-SA"/>
        </w:rPr>
        <w:t xml:space="preserve">8. </w:t>
      </w:r>
      <w:r>
        <w:rPr>
          <w:rStyle w:val="17"/>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364" w:name="_Toc25043"/>
      <w:bookmarkStart w:id="365" w:name="_Toc9669"/>
      <w:r>
        <w:rPr>
          <w:rStyle w:val="16"/>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10359"/>
      <w:bookmarkStart w:id="367" w:name="_Toc27747"/>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755"/>
      <w:bookmarkStart w:id="369" w:name="_Toc14635"/>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Style w:val="16"/>
          <w:rFonts w:hint="eastAsia" w:ascii="仿宋_GB2312" w:hAnsi="仿宋_GB2312" w:eastAsia="仿宋_GB2312" w:cs="仿宋_GB2312"/>
          <w:kern w:val="2"/>
          <w:sz w:val="30"/>
          <w:szCs w:val="30"/>
          <w:lang w:eastAsia="zh-CN" w:bidi="ar-SA"/>
        </w:rPr>
        <w:t>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奖励金计算方式：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16"/>
          <w:rFonts w:hint="eastAsia" w:ascii="仿宋_GB2312" w:hAnsi="仿宋_GB2312" w:eastAsia="仿宋_GB2312" w:cs="仿宋_GB2312"/>
          <w:kern w:val="2"/>
          <w:sz w:val="30"/>
          <w:szCs w:val="30"/>
          <w:lang w:eastAsia="zh-CN" w:bidi="ar-SA"/>
        </w:rPr>
        <w:t>代建合同签订后30天内，支付代建管理费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16"/>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16"/>
          <w:rFonts w:hint="eastAsia" w:ascii="仿宋_GB2312" w:hAnsi="仿宋_GB2312" w:eastAsia="仿宋_GB2312" w:cs="仿宋_GB2312"/>
          <w:kern w:val="2"/>
          <w:sz w:val="30"/>
          <w:szCs w:val="30"/>
          <w:lang w:eastAsia="zh-CN" w:bidi="ar-SA"/>
        </w:rPr>
        <w:t>工程交付使用并完成决算后30天内，支付至代建管理费金额的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；支付奖励金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16"/>
          <w:rFonts w:hint="eastAsia" w:ascii="仿宋_GB2312" w:hAnsi="仿宋_GB2312" w:eastAsia="仿宋_GB2312" w:cs="仿宋_GB2312"/>
          <w:kern w:val="2"/>
          <w:sz w:val="30"/>
          <w:szCs w:val="30"/>
          <w:lang w:eastAsia="zh-CN" w:bidi="ar-SA"/>
        </w:rPr>
        <w:t>剩余</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19"/>
          <w:rFonts w:hint="eastAsia" w:ascii="仿宋_GB2312" w:hAnsi="仿宋_GB2312" w:eastAsia="仿宋_GB2312" w:cs="仿宋_GB2312"/>
          <w:sz w:val="30"/>
          <w:szCs w:val="30"/>
        </w:rPr>
      </w:pPr>
      <w:r>
        <w:rPr>
          <w:rStyle w:val="19"/>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监管账户开设情况：</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同意后设立监管账户，并连同项目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w:t>
      </w:r>
      <w:r>
        <w:rPr>
          <w:rStyle w:val="16"/>
          <w:rFonts w:hint="eastAsia" w:ascii="仿宋_GB2312" w:hAnsi="仿宋_GB2312" w:eastAsia="仿宋_GB2312" w:cs="仿宋_GB2312"/>
          <w:kern w:val="2"/>
          <w:sz w:val="30"/>
          <w:szCs w:val="30"/>
          <w:lang w:val="en-US" w:eastAsia="zh-CN" w:bidi="ar-SA"/>
        </w:rPr>
        <w:t>不</w:t>
      </w:r>
      <w:r>
        <w:rPr>
          <w:rStyle w:val="16"/>
          <w:rFonts w:hint="eastAsia" w:ascii="仿宋_GB2312" w:hAnsi="仿宋_GB2312" w:eastAsia="仿宋_GB2312" w:cs="仿宋_GB2312"/>
          <w:kern w:val="2"/>
          <w:sz w:val="30"/>
          <w:szCs w:val="30"/>
          <w:lang w:eastAsia="zh-CN" w:bidi="ar-SA"/>
        </w:rPr>
        <w:t>开设监管账户，相关约定如下</w:t>
      </w:r>
      <w:r>
        <w:rPr>
          <w:rStyle w:val="19"/>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工程进度付款时间：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质量保证金扣留方式：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16"/>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16"/>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23033"/>
      <w:bookmarkStart w:id="373" w:name="_Toc7097"/>
      <w:r>
        <w:rPr>
          <w:rStyle w:val="19"/>
          <w:rFonts w:hint="eastAsia" w:ascii="仿宋_GB2312" w:hAnsi="仿宋_GB2312" w:eastAsia="仿宋_GB2312" w:cs="仿宋_GB2312"/>
          <w:b/>
          <w:bCs/>
          <w:kern w:val="2"/>
          <w:sz w:val="30"/>
          <w:szCs w:val="30"/>
          <w:lang w:val="en-US" w:eastAsia="zh-CN" w:bidi="ar-SA"/>
        </w:rPr>
        <w:t xml:space="preserve">11.1 </w:t>
      </w:r>
      <w:r>
        <w:rPr>
          <w:rStyle w:val="17"/>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缺陷责任管理期为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19"/>
          <w:rFonts w:hint="eastAsia" w:ascii="仿宋_GB2312" w:hAnsi="仿宋_GB2312" w:eastAsia="仿宋_GB2312" w:cs="仿宋_GB2312"/>
          <w:b/>
          <w:bCs/>
          <w:kern w:val="2"/>
          <w:sz w:val="30"/>
          <w:szCs w:val="30"/>
          <w:lang w:val="en-US" w:eastAsia="zh-CN" w:bidi="ar-SA"/>
        </w:rPr>
        <w:t xml:space="preserve">11.7 </w:t>
      </w:r>
      <w:r>
        <w:rPr>
          <w:rStyle w:val="17"/>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工程质量保修范围：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工程质量保修责任：</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出现以下情形，项目单位具有索赔权：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出现以下情形，代建单位具有索赔权：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17"/>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19"/>
          <w:rFonts w:hint="eastAsia" w:ascii="仿宋_GB2312" w:hAnsi="仿宋_GB2312" w:eastAsia="仿宋_GB2312" w:cs="仿宋_GB2312"/>
          <w:b/>
          <w:bCs/>
          <w:color w:val="000000"/>
          <w:kern w:val="2"/>
          <w:sz w:val="30"/>
          <w:szCs w:val="30"/>
          <w:lang w:val="en-US" w:eastAsia="zh-CN" w:bidi="ar-SA"/>
        </w:rPr>
      </w:pPr>
      <w:bookmarkStart w:id="380" w:name="_Toc30277"/>
      <w:bookmarkStart w:id="381" w:name="_Toc19828"/>
      <w:r>
        <w:rPr>
          <w:rStyle w:val="19"/>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争议评审遵循下列程序：</w:t>
      </w:r>
      <w:r>
        <w:rPr>
          <w:rStyle w:val="19"/>
          <w:rFonts w:hint="eastAsia" w:ascii="仿宋_GB2312" w:hAnsi="仿宋_GB2312" w:eastAsia="仿宋_GB2312" w:cs="仿宋_GB2312"/>
          <w:kern w:val="2"/>
          <w:sz w:val="30"/>
          <w:szCs w:val="30"/>
          <w:u w:val="single"/>
          <w:lang w:eastAsia="zh-CN" w:bidi="ar-SA"/>
        </w:rPr>
        <w:t xml:space="preserve">                       </w:t>
      </w:r>
      <w:r>
        <w:rPr>
          <w:rStyle w:val="19"/>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9"/>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16"/>
          <w:rFonts w:hint="default" w:ascii="Times New Roman" w:hAnsi="Times New Roman" w:cs="Times New Roman"/>
          <w:kern w:val="2"/>
          <w:u w:val="single"/>
          <w:lang w:val="en-US" w:eastAsia="zh-CN" w:bidi="ar-SA"/>
        </w:rPr>
        <w:br w:type="page"/>
      </w:r>
      <w:bookmarkStart w:id="382" w:name="_Toc22782"/>
      <w:bookmarkStart w:id="383" w:name="_Toc28955"/>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0"/>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23897"/>
      <w:bookmarkStart w:id="387" w:name="_Toc16130"/>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sectPr>
      <w:footerReference r:id="rId13" w:type="default"/>
      <w:footerReference r:id="rId14" w:type="even"/>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rPr>
        <w:rFonts w:hint="eastAsia" w:ascii="仿宋_GB2312" w:hAnsi="宋体" w:eastAsia="仿宋_GB2312"/>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left"/>
      <w:textAlignment w:val="auto"/>
      <w:outlineLvl w:val="9"/>
      <w:rPr>
        <w:rFonts w:hint="eastAsia" w:ascii="仿宋_GB2312" w:hAnsi="宋体" w:eastAsia="仿宋_GB2312"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66DB"/>
    <w:rsid w:val="0A5566DB"/>
    <w:rsid w:val="107E2A9F"/>
    <w:rsid w:val="1695493D"/>
    <w:rsid w:val="21453744"/>
    <w:rsid w:val="21472A39"/>
    <w:rsid w:val="2AE12813"/>
    <w:rsid w:val="2E894E73"/>
    <w:rsid w:val="307B2508"/>
    <w:rsid w:val="4D194DDC"/>
    <w:rsid w:val="58A94AC4"/>
    <w:rsid w:val="5BDE574B"/>
    <w:rsid w:val="635D0CFE"/>
    <w:rsid w:val="643B0588"/>
    <w:rsid w:val="727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center"/>
    </w:pPr>
    <w:rPr>
      <w:rFonts w:ascii="宋体" w:hAnsi="Times New Roman" w:eastAsia="宋体" w:cs="Times New Roman"/>
      <w:kern w:val="2"/>
      <w:sz w:val="44"/>
      <w:szCs w:val="24"/>
      <w:lang w:val="en-US" w:eastAsia="zh-CN" w:bidi="ar-SA"/>
    </w:rPr>
  </w:style>
  <w:style w:type="paragraph" w:styleId="5">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9">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16"/>
    <w:qFormat/>
    <w:uiPriority w:val="0"/>
    <w:rPr>
      <w:rFonts w:hint="eastAsia" w:ascii="仿宋_GB2312" w:eastAsia="仿宋_GB2312"/>
      <w:color w:val="000000"/>
      <w:sz w:val="32"/>
      <w:szCs w:val="32"/>
    </w:rPr>
  </w:style>
  <w:style w:type="character" w:customStyle="1" w:styleId="15">
    <w:name w:val="15"/>
    <w:qFormat/>
    <w:uiPriority w:val="0"/>
    <w:rPr>
      <w:rFonts w:hint="eastAsia" w:ascii="仿宋_GB2312" w:eastAsia="仿宋_GB2312"/>
      <w:color w:val="000000"/>
      <w:sz w:val="32"/>
      <w:szCs w:val="32"/>
    </w:rPr>
  </w:style>
  <w:style w:type="character" w:customStyle="1" w:styleId="16">
    <w:name w:val="fontstyle41"/>
    <w:qFormat/>
    <w:uiPriority w:val="0"/>
    <w:rPr>
      <w:rFonts w:hint="eastAsia" w:ascii="仿宋_GB2312" w:eastAsia="仿宋_GB2312"/>
      <w:color w:val="000000"/>
      <w:sz w:val="32"/>
      <w:szCs w:val="32"/>
    </w:rPr>
  </w:style>
  <w:style w:type="character" w:customStyle="1" w:styleId="17">
    <w:name w:val="fontstyle11"/>
    <w:qFormat/>
    <w:uiPriority w:val="0"/>
    <w:rPr>
      <w:rFonts w:hint="eastAsia" w:ascii="黑体" w:hAnsi="黑体" w:eastAsia="黑体"/>
      <w:color w:val="000000"/>
      <w:sz w:val="32"/>
      <w:szCs w:val="32"/>
    </w:rPr>
  </w:style>
  <w:style w:type="character" w:customStyle="1" w:styleId="18">
    <w:name w:val="fontstyle51"/>
    <w:qFormat/>
    <w:uiPriority w:val="0"/>
    <w:rPr>
      <w:rFonts w:hint="default" w:ascii="Arial" w:hAnsi="Arial" w:cs="Arial"/>
      <w:b/>
      <w:bCs/>
      <w:color w:val="000000"/>
      <w:sz w:val="32"/>
      <w:szCs w:val="32"/>
    </w:rPr>
  </w:style>
  <w:style w:type="character" w:customStyle="1" w:styleId="19">
    <w:name w:val="fontstyle31"/>
    <w:qFormat/>
    <w:uiPriority w:val="0"/>
    <w:rPr>
      <w:rFonts w:hint="eastAsia" w:ascii="仿宋_GB2312" w:eastAsia="仿宋_GB2312"/>
      <w:color w:val="000000"/>
      <w:sz w:val="32"/>
      <w:szCs w:val="32"/>
    </w:rPr>
  </w:style>
  <w:style w:type="paragraph" w:customStyle="1" w:styleId="20">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41064</Words>
  <Characters>43386</Characters>
  <Lines>0</Lines>
  <Paragraphs>0</Paragraphs>
  <TotalTime>86</TotalTime>
  <ScaleCrop>false</ScaleCrop>
  <LinksUpToDate>false</LinksUpToDate>
  <CharactersWithSpaces>48350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2026-03-18T01:25:00Z</dcterms:created>
  <dc:creator>周巍宇</dc:creator>
  <cp:lastModifiedBy>Administrator</cp:lastModifiedBy>
  <cp:lastPrinted>2026-03-19T06:34:00Z</cp:lastPrinted>
  <dcterms:modified xsi:type="dcterms:W3CDTF">2026-03-23T09:43:51Z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FE7837954E58483598FB7A1488C48694</vt:lpwstr>
  </property>
</Properties>
</file>