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深圳市福田区福保街道福保社区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委员会关于巡察整改进展情况的通报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根据区委统一部署，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2025年3月21日至2025年6月21日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，区委第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巡察组对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开展了巡察。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日，区委巡察组向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一、党组织履行巡察整改主体责任情况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筑牢政治根基，压实主体责任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迅速部署，统一思想，社区党委接到巡察反馈后，第一时间召开党委会传达学习，全盘认领问题、不回避不遮掩，层层动员压实整改责任。加强领导，明确任务，细化整改分工，强化组织协调，确保各项任务有序推进、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聚力靶向攻坚，实施精准破题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强化整改监督，健全闭环落实机制。根据整改方案制定工作台账，明确问题清单、任务清单、责任清单，确定分管领导、责任部门、完成时限。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（三）深刻检视反思，强化整改自觉。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认真组织召开巡察整改专题组织生活会，严肃认真开展批评与自我批评，逐条逐项把巡察反馈问题讲清楚、析透彻，持续增强抓好巡察整改工作的政治担当、思想认同和行动自觉。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二、巡察整改任务落实情况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落实上一轮巡察问题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1.深化理论铸魂，健全谈心聚力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强化思想认识，持续提升开展各项工作的内在自觉与行动主动；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完善沟通交流机制，细化流程规范，推动日常互动常态化、制度化，促进不同层级之间的协同联动。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2.持续强化项目后期监管，实现全周期闭环管理。一是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加强日常教育提醒，提升整体管理工作的规范化水平，增强工作人员的规矩意识和责任担当；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组织学习相关制度文件，确保各项工作流程符合规定要求，保障项目实施过程严谨有序。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(二)关于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落实党的路线方针政策和上级党委重要决策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1.规范“第一议题”学习，夯实理论武装根基。一是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健全“第一议题”学习计划的动态优化机制，注重与上级部署和社区重点工作相衔接，动态更新学习内容，确保学习紧贴形势任务发展；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深化“第一议题”的研讨交流与学用转化，推动学习成果落地见效，实现学习与实践深度融合。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2.深入实施“百千万工程”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强化统筹协调，系统学习领会相关决策部署精神，研究制定总体工作方案，进一步凝聚思想共识，精准把握各项重点任务；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广泛征集各方面需求，梳理形成覆盖面广、服务品质高的项目清单；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坚持即期整改与长期机制建设相结合，在集中解决突出问题的同时，着力构建源头治理、常态长效的制度体系。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3.持续强化消防火灾排查管理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强化消防安全责任体系，健全基层管理机制；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开展全方位风险隐患排查，完善相关制度规范，加大日常巡查和问题整治力度；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整合专业力量与基层队伍，协同推进重点设施设备的更新改造。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4.推动安全生产工作落实落细。一是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建立小散工程审批巡查机制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落实备案材料的审核与提报工作，保证其完整性与规范性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所有小散工程均须严格遵循既定流程，向相应的建设主管部门申报工程许可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5.持续规范市容环境治理。一是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坚持常态化巡查，对市容环境方面发现的问题，健全闭环管理体系；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建立分级预警机制，针对重点区域启动联动响应，推动问题高效协同处置；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明确不同层级的管控责任，实行定期联合检查、每日巡查和高频网格巡查相结合的工作方法，确保管理无盲区、责任全覆盖。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6.提升矛盾纠纷处置效能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健全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环管理体系，定期召开矛盾纠纷形势分析会，动态梳理重点难点问题。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组织专题培训会，学习法律法规、调解技巧、心理疏导等内容，强化工作人员责任意识，增强理论基础和风险防范化解处置能力。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落实全面从严治党主体责任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1.拧紧全面从严治党主体责任链条。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一是严格落实《党委（党组）落实全面从严治党主体责任规定》，细化任务分工与时限，强化过程督导，确保责任落地见效；二是党委班子成员带头述职述廉，定期开展全覆盖谈心谈话，压实“一岗双责”。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2.严格执行采购管理制度。一是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公开需求调研、方案设计及可行性论证，确保民生微实事项目合理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严格执行“三重一大”事项决策实施细则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；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组织开展纪律教育与采购专题培训，从严落实合同支付、验收程序及标准等要求，确保采购全程合法合规、严谨高效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3.着力解决群众急难愁盼问题。一是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开展专题学习研讨，纠正“经验主义”和“闭门造车”的工作惯性；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确立“调研先行、规划兜底”的原则；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对突出问题挂牌督办，整改结果及时公示，接受群众评议监督。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4.提升工作作风建设效能。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强化前期沟通与责任落实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项目立项前主动对接上级及相关单位，避免冲突；对因沟通不力造成损失的，严肃谈话提醒并纳入考核，倒逼责任落实。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严格招投标内控管理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明确岗位不相容分离原则，定期开展专项检查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规范财务验收与审核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严格执行联合验收制度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加强财务人员培训。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5.加强内部管理建设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建立多部门联合复核制度，定期公示补贴名单及发放标准，接受群众监督，确保公开透明；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提升内控执行规范化水平，组织开展内控业务培训与不相容岗位自查。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)关于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落实新时代党的组织路线</w:t>
      </w:r>
      <w:r>
        <w:rPr>
          <w:rFonts w:hint="eastAsia" w:ascii="楷体" w:hAnsi="楷体" w:eastAsia="楷体" w:cs="楷体"/>
          <w:sz w:val="32"/>
          <w:szCs w:val="32"/>
        </w:rPr>
        <w:t>方面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1.严格执行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“三重一大”制度。一是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健全完善“三重一大”决策事项清单，细化决策程序规范，严格落实会议决策中主要负责人末位表态制度；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坚持集体领导、民主集中、个别酝酿、会议决定的基本原则，所有“三重一大”事项经党委集体讨论，按照议事规则作出决定；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完善决策信息公开机制，定期向社会公开“三重一大”事项决策结果及执行情况，主动接受各方面监督。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2.强化党建工作责任制。一是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落实“一岗双责”，党委班子成员在分管业务领域同步承担党建指导责任；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组织社区各支部书记、社区党委委员开展专题培训，重点解读《中国共产党支部工作条例（试行）》；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定期党建工作述职评议会，党委委员、支部书记向社区党委和党员代表述职，接受现场评议和民主测评。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3.强化党建引领，激发小区治理新效能。一是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建强组织堡垒；优化小区党支部设置，推动党员楼栋长全覆盖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激发先锋作用，设立党员责任区、志愿岗，带头参与环境整治、矛盾调解。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4.加强党组织建设。一是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严格党员教育管理，严格落实“三会一课”、主题党日、组织生活会等制度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优化组织设置，按照“支部建在网格上”原则，调整优化党支部，选优配强网格党支部书记和委员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（一）持续加强思想认识。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坚持把巡察整改作为重要政治任务，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持续深入学习领会上级精神，不断增强抓好整改落实的思想自觉和行动自觉，坚决克服“过关”心态。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（二）健全完善整改工作机制。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进一步压实整改责任，强化跟踪督办与销号管理，对已完成的整改任务适时组织“回头看”，巩固成效，防止反弹。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（三）狠抓具体问题整改落实。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对尚未完成或需长期坚持的整改事项，明确时间表、路线图和责任人，拿出硬招实招，一抓到底，确保问题见底清零。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（四）深化举一反三与成果运用。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坚持标本兼治，深刻剖析问题根源，着力完善相关制度机制，将整改成果转化为治理效能，推动各项工作高质量发展。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福田区福保街道福保社区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4F3A"/>
    <w:rsid w:val="01910A08"/>
    <w:rsid w:val="03161AE6"/>
    <w:rsid w:val="0361128E"/>
    <w:rsid w:val="04FC263C"/>
    <w:rsid w:val="06E72829"/>
    <w:rsid w:val="08681ABA"/>
    <w:rsid w:val="08975A73"/>
    <w:rsid w:val="0A354A28"/>
    <w:rsid w:val="12036C6C"/>
    <w:rsid w:val="172F11C2"/>
    <w:rsid w:val="1C3D4BEA"/>
    <w:rsid w:val="1CBA0E62"/>
    <w:rsid w:val="1F8547A3"/>
    <w:rsid w:val="215A2E89"/>
    <w:rsid w:val="21E734BE"/>
    <w:rsid w:val="261A4BC0"/>
    <w:rsid w:val="2AFB1D28"/>
    <w:rsid w:val="2C532973"/>
    <w:rsid w:val="2E5D389C"/>
    <w:rsid w:val="31154F4D"/>
    <w:rsid w:val="312D39F9"/>
    <w:rsid w:val="362D319F"/>
    <w:rsid w:val="393C6877"/>
    <w:rsid w:val="3A511615"/>
    <w:rsid w:val="3D5F318D"/>
    <w:rsid w:val="3F2E4458"/>
    <w:rsid w:val="3F7D67BC"/>
    <w:rsid w:val="3FC65745"/>
    <w:rsid w:val="40980F08"/>
    <w:rsid w:val="42BE6BA7"/>
    <w:rsid w:val="42FC147E"/>
    <w:rsid w:val="43994F1E"/>
    <w:rsid w:val="44A952DB"/>
    <w:rsid w:val="4CB37051"/>
    <w:rsid w:val="4DE02688"/>
    <w:rsid w:val="4E0F6DC5"/>
    <w:rsid w:val="4E8812BF"/>
    <w:rsid w:val="4EB24F3A"/>
    <w:rsid w:val="5111270B"/>
    <w:rsid w:val="51F073C9"/>
    <w:rsid w:val="551A4038"/>
    <w:rsid w:val="567809C3"/>
    <w:rsid w:val="57C33EC0"/>
    <w:rsid w:val="580266C7"/>
    <w:rsid w:val="5C075BB9"/>
    <w:rsid w:val="5D1873B0"/>
    <w:rsid w:val="62F53AC8"/>
    <w:rsid w:val="634363B0"/>
    <w:rsid w:val="68570D81"/>
    <w:rsid w:val="690C0CC9"/>
    <w:rsid w:val="69342524"/>
    <w:rsid w:val="6A6A2960"/>
    <w:rsid w:val="6B105217"/>
    <w:rsid w:val="6C6B3948"/>
    <w:rsid w:val="6CD9456A"/>
    <w:rsid w:val="6DEA7FA1"/>
    <w:rsid w:val="6F1C5297"/>
    <w:rsid w:val="6F5F55D7"/>
    <w:rsid w:val="766C04D6"/>
    <w:rsid w:val="79A56375"/>
    <w:rsid w:val="7FC3D8A7"/>
    <w:rsid w:val="FEF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2776</Words>
  <Characters>2824</Characters>
  <Lines>0</Lines>
  <Paragraphs>0</Paragraphs>
  <TotalTime>8</TotalTime>
  <ScaleCrop>false</ScaleCrop>
  <LinksUpToDate>false</LinksUpToDate>
  <CharactersWithSpaces>2828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2026-04-10T04:14:00Z</dcterms:created>
  <dc:creator>谭雪玲</dc:creator>
  <cp:lastModifiedBy>LuzyZ</cp:lastModifiedBy>
  <dcterms:modified xsi:type="dcterms:W3CDTF">2026-05-21T02:17:09Z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6209C3A56C42FBE1EEBDF169C58EE05A</vt:lpwstr>
  </property>
  <property fmtid="{D5CDD505-2E9C-101B-9397-08002B2CF9AE}" pid="4" name="KSOTemplateDocerSaveRecord">
    <vt:lpwstr>eyJoZGlkIjoiNzk0ZDEzYzVkNGRhMTkzZWRiYTQ4Y2NjMGVjYWRlOGIiLCJ1c2VySWQiOiIyOTg4Nzk0NTQifQ==</vt:lpwstr>
  </property>
</Properties>
</file>