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0FBC">
      <w:pPr>
        <w:pStyle w:val="12"/>
        <w:keepNext w:val="0"/>
        <w:keepLines w:val="0"/>
        <w:pageBreakBefore w:val="0"/>
        <w:widowControl w:val="0"/>
        <w:kinsoku/>
        <w:wordWrap/>
        <w:overflowPunct/>
        <w:topLinePunct w:val="0"/>
        <w:bidi w:val="0"/>
        <w:spacing w:line="560" w:lineRule="exact"/>
        <w:textAlignment w:val="auto"/>
        <w:rPr>
          <w:rFonts w:hint="eastAsia"/>
          <w:color w:val="auto"/>
          <w:u w:val="none" w:color="auto"/>
          <w:lang w:eastAsia="zh-CN"/>
        </w:rPr>
      </w:pPr>
    </w:p>
    <w:p w14:paraId="1706E3A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u w:val="none" w:color="auto"/>
          <w:lang w:val="en-US" w:eastAsia="zh-CN"/>
        </w:rPr>
      </w:pPr>
      <w:r>
        <w:rPr>
          <w:rFonts w:hint="eastAsia" w:ascii="方正小标宋简体" w:hAnsi="方正小标宋简体" w:eastAsia="方正小标宋简体" w:cs="方正小标宋简体"/>
          <w:b w:val="0"/>
          <w:bCs w:val="0"/>
          <w:snapToGrid w:val="0"/>
          <w:color w:val="auto"/>
          <w:spacing w:val="0"/>
          <w:kern w:val="0"/>
          <w:sz w:val="44"/>
          <w:szCs w:val="44"/>
          <w:u w:val="none" w:color="auto"/>
        </w:rPr>
        <w:t>中共深圳市福田区香蜜湖街道侨香社区</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val="en-US" w:eastAsia="zh-CN"/>
        </w:rPr>
        <w:t>委员会</w:t>
      </w:r>
    </w:p>
    <w:p w14:paraId="62C440A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u w:val="none" w:color="auto"/>
        </w:rPr>
      </w:pPr>
      <w:r>
        <w:rPr>
          <w:rFonts w:hint="eastAsia" w:ascii="方正小标宋简体" w:hAnsi="方正小标宋简体" w:eastAsia="方正小标宋简体" w:cs="方正小标宋简体"/>
          <w:b w:val="0"/>
          <w:bCs w:val="0"/>
          <w:snapToGrid w:val="0"/>
          <w:color w:val="auto"/>
          <w:spacing w:val="0"/>
          <w:kern w:val="0"/>
          <w:sz w:val="44"/>
          <w:szCs w:val="44"/>
          <w:u w:val="none" w:color="auto"/>
        </w:rPr>
        <w:t>关于</w:t>
      </w:r>
      <w:r>
        <w:rPr>
          <w:rFonts w:hint="eastAsia" w:ascii="方正小标宋简体" w:hAnsi="方正小标宋简体" w:eastAsia="方正小标宋简体" w:cs="方正小标宋简体"/>
          <w:w w:val="105"/>
          <w:sz w:val="44"/>
          <w:szCs w:val="44"/>
          <w:lang w:val="en-US" w:eastAsia="zh-CN"/>
        </w:rPr>
        <w:t>八届福田区委第九轮</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eastAsia="zh-CN"/>
        </w:rPr>
        <w:t>巡察</w:t>
      </w:r>
      <w:r>
        <w:rPr>
          <w:rFonts w:hint="eastAsia" w:ascii="方正小标宋简体" w:hAnsi="方正小标宋简体" w:eastAsia="方正小标宋简体" w:cs="方正小标宋简体"/>
          <w:b w:val="0"/>
          <w:bCs w:val="0"/>
          <w:snapToGrid w:val="0"/>
          <w:color w:val="auto"/>
          <w:spacing w:val="0"/>
          <w:kern w:val="0"/>
          <w:sz w:val="44"/>
          <w:szCs w:val="44"/>
          <w:u w:val="none" w:color="auto"/>
        </w:rPr>
        <w:t>整改</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eastAsia="zh-CN"/>
        </w:rPr>
        <w:t>进展</w:t>
      </w:r>
      <w:r>
        <w:rPr>
          <w:rFonts w:hint="eastAsia" w:ascii="方正小标宋简体" w:hAnsi="方正小标宋简体" w:eastAsia="方正小标宋简体" w:cs="方正小标宋简体"/>
          <w:b w:val="0"/>
          <w:bCs w:val="0"/>
          <w:snapToGrid w:val="0"/>
          <w:color w:val="auto"/>
          <w:spacing w:val="0"/>
          <w:kern w:val="0"/>
          <w:sz w:val="44"/>
          <w:szCs w:val="44"/>
          <w:u w:val="none" w:color="auto"/>
        </w:rPr>
        <w:t>情况</w:t>
      </w:r>
    </w:p>
    <w:p w14:paraId="6124DC8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u w:val="none" w:color="auto"/>
        </w:rPr>
      </w:pPr>
      <w:r>
        <w:rPr>
          <w:rFonts w:hint="eastAsia" w:ascii="方正小标宋简体" w:hAnsi="方正小标宋简体" w:eastAsia="方正小标宋简体" w:cs="方正小标宋简体"/>
          <w:b w:val="0"/>
          <w:bCs w:val="0"/>
          <w:snapToGrid w:val="0"/>
          <w:color w:val="auto"/>
          <w:spacing w:val="0"/>
          <w:kern w:val="0"/>
          <w:sz w:val="44"/>
          <w:szCs w:val="44"/>
          <w:u w:val="none" w:color="auto"/>
        </w:rPr>
        <w:t>的通报</w:t>
      </w:r>
    </w:p>
    <w:p w14:paraId="7806459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Calibri" w:eastAsia="仿宋_GB2312" w:cs="Times New Roman"/>
          <w:color w:val="auto"/>
          <w:kern w:val="2"/>
          <w:sz w:val="32"/>
          <w:szCs w:val="32"/>
          <w:u w:val="none" w:color="auto"/>
          <w:lang w:val="en-US" w:eastAsia="zh-CN" w:bidi="ar-SA"/>
        </w:rPr>
      </w:pPr>
    </w:p>
    <w:p w14:paraId="62B03109">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根据区委统一</w:t>
      </w:r>
      <w:r>
        <w:rPr>
          <w:rFonts w:hint="eastAsia" w:ascii="仿宋_GB2312" w:hAnsi="仿宋_GB2312" w:eastAsia="仿宋_GB2312" w:cs="仿宋_GB2312"/>
          <w:color w:val="auto"/>
          <w:kern w:val="2"/>
          <w:sz w:val="32"/>
          <w:szCs w:val="32"/>
          <w:highlight w:val="none"/>
          <w:u w:val="none" w:color="auto"/>
          <w:lang w:val="en-US" w:eastAsia="zh-CN" w:bidi="ar-SA"/>
        </w:rPr>
        <w:t>部署，2025年3月26日至6月13日，区委第一巡察组对侨香社区党委开展了巡察。2025年7月29日，区委巡察组向侨香社区党委反馈了巡察意见。按照巡察工作有关要求，现将巡察整改进展情况予以公布。</w:t>
      </w:r>
    </w:p>
    <w:p w14:paraId="2A77235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方正黑体_GBK" w:hAnsi="方正黑体_GBK" w:eastAsia="方正黑体_GBK" w:cs="方正黑体_GBK"/>
          <w:b/>
          <w:bCs w:val="0"/>
          <w:snapToGrid w:val="0"/>
          <w:color w:val="auto"/>
          <w:spacing w:val="0"/>
          <w:kern w:val="0"/>
          <w:sz w:val="32"/>
          <w:szCs w:val="32"/>
          <w:u w:val="none" w:color="auto"/>
          <w:lang w:eastAsia="zh-CN"/>
        </w:rPr>
      </w:pPr>
      <w:r>
        <w:rPr>
          <w:rFonts w:hint="eastAsia" w:ascii="黑体" w:hAnsi="黑体" w:eastAsia="黑体" w:cs="黑体"/>
          <w:b w:val="0"/>
          <w:bCs/>
          <w:snapToGrid w:val="0"/>
          <w:color w:val="auto"/>
          <w:spacing w:val="0"/>
          <w:kern w:val="0"/>
          <w:sz w:val="32"/>
          <w:szCs w:val="32"/>
          <w:highlight w:val="none"/>
          <w:u w:val="none" w:color="auto"/>
          <w:lang w:eastAsia="zh-CN"/>
        </w:rPr>
        <w:t>一、党</w:t>
      </w:r>
      <w:r>
        <w:rPr>
          <w:rFonts w:hint="eastAsia" w:ascii="黑体" w:hAnsi="黑体" w:eastAsia="黑体" w:cs="黑体"/>
          <w:b w:val="0"/>
          <w:bCs/>
          <w:snapToGrid w:val="0"/>
          <w:color w:val="auto"/>
          <w:spacing w:val="0"/>
          <w:kern w:val="0"/>
          <w:sz w:val="32"/>
          <w:szCs w:val="32"/>
          <w:highlight w:val="none"/>
          <w:u w:val="none" w:color="auto"/>
          <w:lang w:val="en-US" w:eastAsia="zh-CN"/>
        </w:rPr>
        <w:t>组织</w:t>
      </w:r>
      <w:r>
        <w:rPr>
          <w:rFonts w:hint="eastAsia" w:ascii="黑体" w:hAnsi="黑体" w:eastAsia="黑体" w:cs="黑体"/>
          <w:b w:val="0"/>
          <w:bCs/>
          <w:snapToGrid w:val="0"/>
          <w:color w:val="auto"/>
          <w:spacing w:val="0"/>
          <w:kern w:val="0"/>
          <w:sz w:val="32"/>
          <w:szCs w:val="32"/>
          <w:highlight w:val="none"/>
          <w:u w:val="none" w:color="auto"/>
          <w:lang w:eastAsia="zh-CN"/>
        </w:rPr>
        <w:t>履行巡察整</w:t>
      </w:r>
      <w:r>
        <w:rPr>
          <w:rFonts w:hint="eastAsia" w:ascii="黑体" w:hAnsi="黑体" w:eastAsia="黑体" w:cs="黑体"/>
          <w:b w:val="0"/>
          <w:bCs/>
          <w:snapToGrid w:val="0"/>
          <w:color w:val="auto"/>
          <w:spacing w:val="0"/>
          <w:kern w:val="0"/>
          <w:sz w:val="32"/>
          <w:szCs w:val="32"/>
          <w:u w:val="none" w:color="auto"/>
          <w:lang w:eastAsia="zh-CN"/>
        </w:rPr>
        <w:t>改主体责任情况</w:t>
      </w:r>
    </w:p>
    <w:p w14:paraId="67E57B89">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（一）提高政治站位。</w:t>
      </w:r>
      <w:r>
        <w:rPr>
          <w:rFonts w:hint="eastAsia" w:ascii="仿宋_GB2312" w:hAnsi="仿宋_GB2312" w:eastAsia="仿宋_GB2312" w:cs="仿宋_GB2312"/>
          <w:color w:val="auto"/>
          <w:kern w:val="2"/>
          <w:sz w:val="32"/>
          <w:szCs w:val="32"/>
          <w:u w:val="none" w:color="auto"/>
          <w:lang w:val="en-US" w:eastAsia="zh-CN" w:bidi="ar-SA"/>
        </w:rPr>
        <w:t>坚持把巡察整改作为重大政治任务，组织召开巡察整改专题组织生活会，班子成员带头对照检查，主动认领问题，剖析问题根源，统一思想、凝聚共识，确保整改工作不走过场、落到实处。</w:t>
      </w:r>
    </w:p>
    <w:p w14:paraId="2D839AF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（二）细化整改举措。</w:t>
      </w:r>
      <w:r>
        <w:rPr>
          <w:rFonts w:hint="eastAsia" w:ascii="仿宋_GB2312" w:hAnsi="仿宋_GB2312" w:eastAsia="仿宋_GB2312" w:cs="仿宋_GB2312"/>
          <w:color w:val="auto"/>
          <w:kern w:val="2"/>
          <w:sz w:val="32"/>
          <w:szCs w:val="32"/>
          <w:u w:val="none" w:color="auto"/>
          <w:lang w:val="en-US" w:eastAsia="zh-CN" w:bidi="ar-SA"/>
        </w:rPr>
        <w:t>迅速成立整改领导工作小组，制定详实整改方案，实行台账管理、对账销号，以坚决态度和务实作风做好“后半篇文章”。</w:t>
      </w:r>
    </w:p>
    <w:p w14:paraId="0C5E910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Times New Roman" w:hAnsi="Calibri" w:eastAsia="仿宋_GB2312" w:cs="Times New Roman"/>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（三）深化成果转化。</w:t>
      </w:r>
      <w:r>
        <w:rPr>
          <w:rFonts w:hint="eastAsia" w:ascii="Times New Roman" w:hAnsi="Calibri" w:eastAsia="仿宋_GB2312" w:cs="Times New Roman"/>
          <w:color w:val="auto"/>
          <w:kern w:val="2"/>
          <w:sz w:val="32"/>
          <w:szCs w:val="32"/>
          <w:u w:val="none" w:color="auto"/>
          <w:lang w:val="en-US" w:eastAsia="zh-CN" w:bidi="ar-SA"/>
        </w:rPr>
        <w:t>坚持层层压实责任，注重标本兼治，通过完善制度机制，切实将整改成果转化为提升社区治理效能的动力。</w:t>
      </w:r>
    </w:p>
    <w:p w14:paraId="3E6C30E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黑体" w:hAnsi="黑体" w:eastAsia="黑体" w:cs="黑体"/>
          <w:b w:val="0"/>
          <w:bCs/>
          <w:snapToGrid w:val="0"/>
          <w:color w:val="auto"/>
          <w:spacing w:val="0"/>
          <w:kern w:val="0"/>
          <w:sz w:val="32"/>
          <w:szCs w:val="32"/>
          <w:u w:val="none" w:color="auto"/>
          <w:lang w:eastAsia="zh-CN"/>
        </w:rPr>
      </w:pPr>
      <w:r>
        <w:rPr>
          <w:rFonts w:hint="eastAsia" w:ascii="黑体" w:hAnsi="黑体" w:eastAsia="黑体" w:cs="黑体"/>
          <w:b w:val="0"/>
          <w:bCs/>
          <w:snapToGrid w:val="0"/>
          <w:color w:val="auto"/>
          <w:spacing w:val="0"/>
          <w:kern w:val="0"/>
          <w:sz w:val="32"/>
          <w:szCs w:val="32"/>
          <w:u w:val="none" w:color="auto"/>
          <w:lang w:eastAsia="zh-CN"/>
        </w:rPr>
        <w:t>二、巡察整改任务落实情况</w:t>
      </w:r>
    </w:p>
    <w:p w14:paraId="1BCEE787">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Times New Roman" w:hAnsi="Calibri" w:eastAsia="仿宋_GB2312" w:cs="Times New Roman"/>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（一）关于巡察发现问题整改落实方面</w:t>
      </w:r>
    </w:p>
    <w:p w14:paraId="03257028">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1</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.强化上一轮巡察发现问题整改闭环。</w:t>
      </w:r>
      <w:r>
        <w:rPr>
          <w:rFonts w:hint="eastAsia" w:ascii="仿宋_GB2312" w:hAnsi="仿宋_GB2312" w:eastAsia="仿宋_GB2312" w:cs="仿宋_GB2312"/>
          <w:b/>
          <w:bCs/>
          <w:color w:val="auto"/>
          <w:sz w:val="32"/>
          <w:szCs w:val="32"/>
          <w:u w:val="none" w:color="auto"/>
          <w:lang w:eastAsia="zh-CN"/>
        </w:rPr>
        <w:t>一是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规范支部党建工作，组织召开扩大会议，开展警示教育、印发整改标准，推动各支部自查自纠</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建立班子成员分片联系机制，定期调阅党支部的工作记录</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并开展督导，规范组织生活</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强化民生微实事管理，选聘</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合格</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第三方担任监督人，组织工作人员和居民代表开展专项廉政培训，切实防范化解风险。</w:t>
      </w:r>
    </w:p>
    <w:p w14:paraId="544586E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（二）关于党的路线方针政策和党中央及上级各项决策部署方面</w:t>
      </w:r>
    </w:p>
    <w:p w14:paraId="158F7CC1">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1</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.规范落实“第一议题”学习机制。</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开展专项核查整改，组织专题培训明确记录要素和填写规范</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健全常态化督查</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机制，</w:t>
      </w:r>
      <w:r>
        <w:rPr>
          <w:rFonts w:hint="eastAsia" w:ascii="仿宋_GB2312" w:hAnsi="仿宋_GB2312" w:eastAsia="仿宋_GB2312" w:cs="仿宋_GB2312"/>
          <w:sz w:val="32"/>
          <w:szCs w:val="32"/>
          <w:lang w:val="en-US" w:eastAsia="zh-CN"/>
        </w:rPr>
        <w:t>对各支部开展常态化检查，</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将“第一议题”学习制度落实情况纳入专项检查重点，对发现的问题</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及时</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提醒整改。</w:t>
      </w:r>
    </w:p>
    <w:p w14:paraId="301D1C79">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2.抓实意识形态工作管理。</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制定年度意识形态工作计划</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并</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明确责任分工</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班子成员按计划开展调研</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落实定期分析研判工作机制，做好</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风险预警、处置。</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建立季度抽查机制。</w:t>
      </w:r>
    </w:p>
    <w:p w14:paraId="641696C2">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3.强化“百千万工程”统筹力度。</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召开“百千万工程”专题推进会议，明确责任分工、梳理实施堵点</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，确保项目按计划推进。</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开展项目评估，实施动态调整</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聚焦社区实际确定重点项目，优化实施方案。</w:t>
      </w:r>
    </w:p>
    <w:p w14:paraId="2F07E821">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4.规范党群服务中心社会化运营全流程管理。</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健全遴选引进机制，明确评审、审议、公示等流程标准，并建立督查机制</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强化公益基金监管，制定资金监管细则，明确监管要求</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严把机构监督关口，</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强化</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机构准入信用核查与风险排查</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p>
    <w:p w14:paraId="459FF4EB">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5.加强风险隐患排查化解。</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sz w:val="32"/>
          <w:szCs w:val="32"/>
          <w:highlight w:val="none"/>
          <w:lang w:val="en-US" w:eastAsia="zh-CN"/>
        </w:rPr>
        <w:t>加强宣传引导</w:t>
      </w:r>
      <w:r>
        <w:rPr>
          <w:rFonts w:hint="eastAsia" w:ascii="仿宋_GB2312" w:hAnsi="仿宋_GB2312" w:eastAsia="仿宋_GB2312" w:cs="仿宋_GB2312"/>
          <w:sz w:val="32"/>
          <w:szCs w:val="32"/>
          <w:highlight w:val="none"/>
          <w:lang w:val="en-US" w:eastAsia="zh-CN"/>
        </w:rPr>
        <w:t>，同时结合实际新建和</w:t>
      </w:r>
      <w:r>
        <w:rPr>
          <w:rFonts w:hint="default" w:ascii="仿宋_GB2312" w:hAnsi="仿宋_GB2312" w:eastAsia="仿宋_GB2312" w:cs="仿宋_GB2312"/>
          <w:sz w:val="32"/>
          <w:szCs w:val="32"/>
          <w:highlight w:val="none"/>
          <w:lang w:val="en-US" w:eastAsia="zh-CN"/>
        </w:rPr>
        <w:t>改造</w:t>
      </w:r>
      <w:r>
        <w:rPr>
          <w:rFonts w:hint="eastAsia" w:ascii="仿宋_GB2312" w:hAnsi="仿宋_GB2312" w:eastAsia="仿宋_GB2312" w:cs="仿宋_GB2312"/>
          <w:sz w:val="32"/>
          <w:szCs w:val="32"/>
          <w:highlight w:val="none"/>
          <w:lang w:val="en-US" w:eastAsia="zh-CN"/>
        </w:rPr>
        <w:t>停放充电区</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二</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严格落实信访工作制度</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，认真执行联席工作会议制度，</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开展业务专题培训。</w:t>
      </w:r>
    </w:p>
    <w:p w14:paraId="31DC81F4">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（三）关于落实全面从严治党战略部署方面</w:t>
      </w:r>
    </w:p>
    <w:p w14:paraId="4340044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1.强化从严治党主体责任。</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定期召开党风廉政建设专题会议，及时传达会议精神并分解工作任务</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组织</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社区工作人员和各党支部书记</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开展专题警示教育，通报违纪违法案例</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规范</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谈话提醒</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工作</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，切实提升谈话提醒质量与实效性。</w:t>
      </w:r>
    </w:p>
    <w:p w14:paraId="0B2B30DC">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2.规范“民生微实事”项目采购管理。</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组织</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开展政策指引专题学习</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安排专人审核存档，</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按照指引规范</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采购流程标准和实施时序。</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规范验收公开程序，</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明确必备要素，</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实行两名以上经办人员签字确认。</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组织开展廉政培训，强化风险防控机制建设。</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四是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按要求编制建设方案或可行性研究报告，广泛征求群众意见，提升项目可行性和民生适配性。</w:t>
      </w:r>
    </w:p>
    <w:p w14:paraId="286E4783">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3.从严规范资金管理使用。</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组织</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社区老年协会工作人员</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学习财务管理制度</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，加强自查自纠，进一步规范经费审批和凭证整理</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p>
    <w:p w14:paraId="496257C4">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4.加强固定资产管理。</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完成固定资产全面清查，盘活闲置设备</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，进一步提升资产使用效率</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指定专人负责</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社区</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资产台账管理，确保账实相符</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w:t>
      </w:r>
    </w:p>
    <w:p w14:paraId="2BF498B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5.</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树立严实工作作风</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规范学习资料发放流程，及时按需发放。</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加强民微项目资料审核、复核，组织开展业务专项培训与责任提醒谈话</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同时</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开展材料抽查</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完善公章保管使用制度</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明确人员审核把关责任</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p>
    <w:p w14:paraId="50A81E3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（四）关于基层党组织和党员队伍建设方面</w:t>
      </w:r>
    </w:p>
    <w:p w14:paraId="43121970">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1.规范“三重一大”议事决策管理。一是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规范上会议题管理，确保应议尽议。</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组织党委班子成员开展议事规则专题培训，提升议事质效。</w:t>
      </w:r>
    </w:p>
    <w:p w14:paraId="1EB36CE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2.抓实基础党务规范建设。</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召开</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社区</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党委扩大会议专题研究</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党务工作，建立</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季度检查</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机制</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推动落实到位。</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eastAsia" w:ascii="仿宋_GB2312" w:hAnsi="仿宋_GB2312" w:eastAsia="仿宋_GB2312" w:cs="仿宋_GB2312"/>
          <w:sz w:val="32"/>
          <w:szCs w:val="32"/>
          <w:lang w:val="en-US" w:eastAsia="zh-CN"/>
        </w:rPr>
        <w:t>组织各支部书记及党务工作者</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开展专题培训并剖析典型案例，常态化检查“三会一课”落实情况。</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组织党务工作者开展</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换届选举和补改选</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流程培训</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，确保选举</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程序合规。</w:t>
      </w:r>
    </w:p>
    <w:p w14:paraId="4B9EA32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3.严格发展党员程序。</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做好工作指导，要求相关党支部</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严格党员发展会议记录标准</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，确保记录规范完整</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建立审核机制，</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定期对党员发展材料进行核查</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w:t>
      </w:r>
    </w:p>
    <w:p w14:paraId="2141EAD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4.提升“两新”及小区党组织建设实效。</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召开</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社区</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党委扩大会议通报</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典型案例</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，建立党委班子成员分片督导机制，切实提升组织生活实效。</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规范党费收缴管理，建立动态管理台账</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并</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指定专人负责</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党费管理</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工作，完善党费收缴季度公示制度。</w:t>
      </w:r>
    </w:p>
    <w:p w14:paraId="4F5B1B89">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Times New Roman" w:hAnsi="Times New Roman" w:eastAsia="黑体" w:cs="方正黑体_GBK"/>
          <w:color w:val="auto"/>
          <w:spacing w:val="0"/>
          <w:sz w:val="32"/>
          <w:szCs w:val="32"/>
          <w:highlight w:val="none"/>
          <w:u w:val="none" w:color="auto"/>
        </w:rPr>
      </w:pPr>
      <w:r>
        <w:rPr>
          <w:rFonts w:hint="eastAsia" w:ascii="Times New Roman" w:hAnsi="黑体" w:eastAsia="黑体" w:cs="方正黑体_GBK"/>
          <w:color w:val="auto"/>
          <w:spacing w:val="0"/>
          <w:sz w:val="32"/>
          <w:szCs w:val="32"/>
          <w:highlight w:val="none"/>
          <w:u w:val="none" w:color="auto"/>
          <w:lang w:val="en-US" w:eastAsia="zh-CN"/>
        </w:rPr>
        <w:t>三</w:t>
      </w:r>
      <w:r>
        <w:rPr>
          <w:rFonts w:hint="eastAsia" w:ascii="Times New Roman" w:hAnsi="黑体" w:eastAsia="黑体" w:cs="方正黑体_GBK"/>
          <w:color w:val="auto"/>
          <w:spacing w:val="0"/>
          <w:sz w:val="32"/>
          <w:szCs w:val="32"/>
          <w:highlight w:val="none"/>
          <w:u w:val="none" w:color="auto"/>
          <w:lang w:eastAsia="zh-CN"/>
        </w:rPr>
        <w:t>、</w:t>
      </w:r>
      <w:r>
        <w:rPr>
          <w:rFonts w:hint="eastAsia" w:ascii="Times New Roman" w:hAnsi="黑体" w:eastAsia="黑体" w:cs="方正黑体_GBK"/>
          <w:color w:val="auto"/>
          <w:spacing w:val="0"/>
          <w:sz w:val="32"/>
          <w:szCs w:val="32"/>
          <w:highlight w:val="none"/>
          <w:u w:val="none" w:color="auto"/>
        </w:rPr>
        <w:t>下一步整改工作安排</w:t>
      </w:r>
    </w:p>
    <w:p w14:paraId="71EDEDD5">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b w:val="0"/>
          <w:bCs/>
          <w:snapToGrid w:val="0"/>
          <w:color w:val="auto"/>
          <w:spacing w:val="0"/>
          <w:kern w:val="0"/>
          <w:sz w:val="32"/>
          <w:szCs w:val="32"/>
          <w:u w:val="none" w:color="auto"/>
        </w:rPr>
      </w:pPr>
      <w:r>
        <w:rPr>
          <w:rFonts w:hint="eastAsia" w:ascii="楷体_GB2312" w:hAnsi="楷体_GB2312" w:eastAsia="楷体_GB2312" w:cs="楷体_GB2312"/>
          <w:b w:val="0"/>
          <w:bCs/>
          <w:snapToGrid w:val="0"/>
          <w:color w:val="auto"/>
          <w:spacing w:val="0"/>
          <w:kern w:val="0"/>
          <w:sz w:val="32"/>
          <w:szCs w:val="32"/>
          <w:u w:val="none" w:color="auto"/>
          <w:lang w:val="en-US"/>
        </w:rPr>
        <w:t>（一）</w:t>
      </w:r>
      <w:r>
        <w:rPr>
          <w:rFonts w:hint="eastAsia" w:ascii="楷体_GB2312" w:hAnsi="楷体_GB2312" w:eastAsia="楷体_GB2312" w:cs="楷体_GB2312"/>
          <w:b w:val="0"/>
          <w:bCs/>
          <w:snapToGrid w:val="0"/>
          <w:color w:val="auto"/>
          <w:spacing w:val="0"/>
          <w:kern w:val="0"/>
          <w:sz w:val="32"/>
          <w:szCs w:val="32"/>
          <w:u w:val="none" w:color="auto"/>
        </w:rPr>
        <w:t>持续强化思想引领</w:t>
      </w: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仿宋_GB2312" w:hAnsi="仿宋_GB2312" w:eastAsia="仿宋_GB2312" w:cs="仿宋_GB2312"/>
          <w:b w:val="0"/>
          <w:bCs/>
          <w:snapToGrid w:val="0"/>
          <w:color w:val="auto"/>
          <w:spacing w:val="0"/>
          <w:kern w:val="0"/>
          <w:sz w:val="32"/>
          <w:szCs w:val="32"/>
          <w:u w:val="none" w:color="auto"/>
        </w:rPr>
        <w:t>将巡察整改后续工作与学习贯彻习近平新时代中国特色社会主义思想紧密结合，推动整改成效转化为治理效能。</w:t>
      </w:r>
    </w:p>
    <w:p w14:paraId="651AA50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b w:val="0"/>
          <w:bCs/>
          <w:snapToGrid w:val="0"/>
          <w:color w:val="auto"/>
          <w:spacing w:val="0"/>
          <w:kern w:val="0"/>
          <w:sz w:val="32"/>
          <w:szCs w:val="32"/>
          <w:u w:val="none" w:color="auto"/>
        </w:rPr>
      </w:pPr>
      <w:r>
        <w:rPr>
          <w:rFonts w:hint="eastAsia" w:ascii="楷体_GB2312" w:hAnsi="楷体_GB2312" w:eastAsia="楷体_GB2312" w:cs="楷体_GB2312"/>
          <w:b w:val="0"/>
          <w:bCs/>
          <w:snapToGrid w:val="0"/>
          <w:color w:val="auto"/>
          <w:spacing w:val="0"/>
          <w:kern w:val="0"/>
          <w:sz w:val="32"/>
          <w:szCs w:val="32"/>
          <w:u w:val="none" w:color="auto"/>
          <w:lang w:val="en-US" w:eastAsia="zh-CN"/>
        </w:rPr>
        <w:t>（二）</w:t>
      </w:r>
      <w:r>
        <w:rPr>
          <w:rFonts w:hint="eastAsia" w:ascii="楷体_GB2312" w:hAnsi="楷体_GB2312" w:eastAsia="楷体_GB2312" w:cs="楷体_GB2312"/>
          <w:b w:val="0"/>
          <w:bCs/>
          <w:snapToGrid w:val="0"/>
          <w:color w:val="auto"/>
          <w:spacing w:val="0"/>
          <w:kern w:val="0"/>
          <w:sz w:val="32"/>
          <w:szCs w:val="32"/>
          <w:u w:val="none" w:color="auto"/>
        </w:rPr>
        <w:t>健全整改长效机制</w:t>
      </w: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仿宋_GB2312" w:hAnsi="仿宋_GB2312" w:eastAsia="仿宋_GB2312" w:cs="仿宋_GB2312"/>
          <w:b w:val="0"/>
          <w:bCs/>
          <w:snapToGrid w:val="0"/>
          <w:color w:val="auto"/>
          <w:spacing w:val="0"/>
          <w:kern w:val="0"/>
          <w:sz w:val="32"/>
          <w:szCs w:val="32"/>
          <w:u w:val="none" w:color="auto"/>
        </w:rPr>
        <w:t>对已完成整改事项开展“回头看”，巩固整改成果；聚焦重点难点</w:t>
      </w:r>
      <w:r>
        <w:rPr>
          <w:rFonts w:hint="eastAsia" w:ascii="仿宋_GB2312" w:hAnsi="仿宋_GB2312" w:eastAsia="仿宋_GB2312" w:cs="仿宋_GB2312"/>
          <w:b w:val="0"/>
          <w:bCs/>
          <w:snapToGrid w:val="0"/>
          <w:color w:val="auto"/>
          <w:spacing w:val="0"/>
          <w:kern w:val="0"/>
          <w:sz w:val="32"/>
          <w:szCs w:val="32"/>
          <w:u w:val="none" w:color="auto"/>
          <w:lang w:val="en-US" w:eastAsia="zh-CN"/>
        </w:rPr>
        <w:t>加强</w:t>
      </w:r>
      <w:r>
        <w:rPr>
          <w:rFonts w:hint="eastAsia" w:ascii="仿宋_GB2312" w:hAnsi="仿宋_GB2312" w:eastAsia="仿宋_GB2312" w:cs="仿宋_GB2312"/>
          <w:b w:val="0"/>
          <w:bCs/>
          <w:snapToGrid w:val="0"/>
          <w:color w:val="auto"/>
          <w:spacing w:val="0"/>
          <w:kern w:val="0"/>
          <w:sz w:val="32"/>
          <w:szCs w:val="32"/>
          <w:u w:val="none" w:color="auto"/>
        </w:rPr>
        <w:t>攻坚，明确时间表、路线图，</w:t>
      </w:r>
      <w:r>
        <w:rPr>
          <w:rFonts w:hint="eastAsia" w:ascii="仿宋_GB2312" w:hAnsi="仿宋_GB2312" w:eastAsia="仿宋_GB2312" w:cs="仿宋_GB2312"/>
          <w:b w:val="0"/>
          <w:bCs/>
          <w:snapToGrid w:val="0"/>
          <w:color w:val="auto"/>
          <w:spacing w:val="0"/>
          <w:kern w:val="0"/>
          <w:sz w:val="32"/>
          <w:szCs w:val="32"/>
          <w:u w:val="none" w:color="auto"/>
          <w:lang w:val="en-US" w:eastAsia="zh-CN"/>
        </w:rPr>
        <w:t>定期调度推进，</w:t>
      </w:r>
      <w:bookmarkStart w:id="0" w:name="_GoBack"/>
      <w:bookmarkEnd w:id="0"/>
      <w:r>
        <w:rPr>
          <w:rFonts w:hint="eastAsia" w:ascii="仿宋_GB2312" w:hAnsi="仿宋_GB2312" w:eastAsia="仿宋_GB2312" w:cs="仿宋_GB2312"/>
          <w:b w:val="0"/>
          <w:bCs/>
          <w:snapToGrid w:val="0"/>
          <w:color w:val="auto"/>
          <w:spacing w:val="0"/>
          <w:kern w:val="0"/>
          <w:sz w:val="32"/>
          <w:szCs w:val="32"/>
          <w:u w:val="none" w:color="auto"/>
        </w:rPr>
        <w:t>确保按期完成整改目标。</w:t>
      </w:r>
    </w:p>
    <w:p w14:paraId="1EF94BC7">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b w:val="0"/>
          <w:bCs/>
          <w:snapToGrid w:val="0"/>
          <w:color w:val="auto"/>
          <w:spacing w:val="0"/>
          <w:kern w:val="0"/>
          <w:sz w:val="32"/>
          <w:szCs w:val="32"/>
          <w:u w:val="none" w:color="auto"/>
        </w:rPr>
      </w:pP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楷体_GB2312" w:hAnsi="楷体_GB2312" w:eastAsia="楷体_GB2312" w:cs="楷体_GB2312"/>
          <w:b w:val="0"/>
          <w:bCs/>
          <w:snapToGrid w:val="0"/>
          <w:color w:val="auto"/>
          <w:spacing w:val="0"/>
          <w:kern w:val="0"/>
          <w:sz w:val="32"/>
          <w:szCs w:val="32"/>
          <w:u w:val="none" w:color="auto"/>
          <w:lang w:val="en-US" w:eastAsia="zh-CN"/>
        </w:rPr>
        <w:t>三</w:t>
      </w: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楷体_GB2312" w:hAnsi="楷体_GB2312" w:eastAsia="楷体_GB2312" w:cs="楷体_GB2312"/>
          <w:b w:val="0"/>
          <w:bCs/>
          <w:snapToGrid w:val="0"/>
          <w:color w:val="auto"/>
          <w:spacing w:val="0"/>
          <w:kern w:val="0"/>
          <w:sz w:val="32"/>
          <w:szCs w:val="32"/>
          <w:u w:val="none" w:color="auto"/>
        </w:rPr>
        <w:t>深化整改成果运用</w:t>
      </w: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仿宋_GB2312" w:hAnsi="仿宋_GB2312" w:eastAsia="仿宋_GB2312" w:cs="仿宋_GB2312"/>
          <w:b w:val="0"/>
          <w:bCs/>
          <w:snapToGrid w:val="0"/>
          <w:color w:val="auto"/>
          <w:spacing w:val="0"/>
          <w:kern w:val="0"/>
          <w:sz w:val="32"/>
          <w:szCs w:val="32"/>
          <w:u w:val="none" w:color="auto"/>
        </w:rPr>
        <w:t>举一反三完善制度体系，</w:t>
      </w:r>
      <w:r>
        <w:rPr>
          <w:rFonts w:hint="default" w:ascii="仿宋_GB2312" w:hAnsi="仿宋_GB2312" w:eastAsia="仿宋_GB2312" w:cs="仿宋_GB2312"/>
          <w:b w:val="0"/>
          <w:bCs/>
          <w:snapToGrid w:val="0"/>
          <w:color w:val="auto"/>
          <w:spacing w:val="0"/>
          <w:kern w:val="0"/>
          <w:sz w:val="32"/>
          <w:szCs w:val="32"/>
          <w:u w:val="none" w:color="auto"/>
          <w:lang w:val="en-US"/>
        </w:rPr>
        <w:t>结合实际</w:t>
      </w:r>
      <w:r>
        <w:rPr>
          <w:rFonts w:hint="eastAsia" w:ascii="仿宋_GB2312" w:hAnsi="仿宋_GB2312" w:eastAsia="仿宋_GB2312" w:cs="仿宋_GB2312"/>
          <w:b w:val="0"/>
          <w:bCs/>
          <w:snapToGrid w:val="0"/>
          <w:color w:val="auto"/>
          <w:spacing w:val="0"/>
          <w:kern w:val="0"/>
          <w:sz w:val="32"/>
          <w:szCs w:val="32"/>
          <w:u w:val="none" w:color="auto"/>
        </w:rPr>
        <w:t>修订完善制度规范，形成以整改促发展、以制度固成效的良性循环。</w:t>
      </w:r>
    </w:p>
    <w:p w14:paraId="2E175368">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欢迎广大干部群众对巡察整改落实情况进行监督。如有意见建议，请及时向我们反映。公开期限</w:t>
      </w:r>
      <w:r>
        <w:rPr>
          <w:rFonts w:hint="eastAsia" w:ascii="仿宋_GB2312" w:hAnsi="仿宋_GB2312" w:eastAsia="仿宋_GB2312" w:cs="仿宋_GB2312"/>
          <w:color w:val="auto"/>
          <w:kern w:val="2"/>
          <w:sz w:val="32"/>
          <w:szCs w:val="32"/>
          <w:highlight w:val="none"/>
          <w:u w:val="none" w:color="auto"/>
          <w:lang w:val="en-US" w:eastAsia="zh-CN" w:bidi="ar-SA"/>
        </w:rPr>
        <w:t>：2026年5月21日至6月21日。</w:t>
      </w:r>
    </w:p>
    <w:p w14:paraId="189BC9D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联系电话：0755-88917551；邮政信箱：深圳市福田区安托山九路一号侨香社区党群服务中心304，邮政编码518000；电子邮箱：1347813969@qq.com。</w:t>
      </w:r>
    </w:p>
    <w:p w14:paraId="3F6AEB2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p>
    <w:p w14:paraId="4F6CC124">
      <w:pPr>
        <w:jc w:val="right"/>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中共深圳市福田区香蜜湖街道侨香社区委员会</w:t>
      </w:r>
    </w:p>
    <w:p w14:paraId="5C96C7BE">
      <w:pPr>
        <w:jc w:val="center"/>
      </w:pPr>
      <w:r>
        <w:rPr>
          <w:rFonts w:hint="default" w:ascii="仿宋_GB2312" w:hAnsi="仿宋_GB2312" w:eastAsia="仿宋_GB2312" w:cs="仿宋_GB2312"/>
          <w:color w:val="auto"/>
          <w:kern w:val="2"/>
          <w:sz w:val="32"/>
          <w:szCs w:val="32"/>
          <w:u w:val="none" w:color="auto"/>
          <w:lang w:val="en-US" w:eastAsia="zh-CN" w:bidi="ar-SA"/>
        </w:rPr>
        <w:t xml:space="preserve">                         </w:t>
      </w:r>
      <w:r>
        <w:rPr>
          <w:rFonts w:hint="eastAsia" w:ascii="仿宋_GB2312" w:hAnsi="仿宋_GB2312" w:eastAsia="仿宋_GB2312" w:cs="仿宋_GB2312"/>
          <w:color w:val="auto"/>
          <w:kern w:val="2"/>
          <w:sz w:val="32"/>
          <w:szCs w:val="32"/>
          <w:u w:val="none" w:color="auto"/>
          <w:lang w:val="en-US" w:eastAsia="zh-CN" w:bidi="ar-SA"/>
        </w:rPr>
        <w:t>2026年5月21日</w:t>
      </w:r>
    </w:p>
    <w:sectPr>
      <w:footerReference r:id="rId3" w:type="default"/>
      <w:pgSz w:w="11906" w:h="16838"/>
      <w:pgMar w:top="2211"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816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E6239">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2E6239">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47F83"/>
    <w:rsid w:val="03DB0660"/>
    <w:rsid w:val="069A210C"/>
    <w:rsid w:val="0847197F"/>
    <w:rsid w:val="0AC94DA2"/>
    <w:rsid w:val="0EDE5C44"/>
    <w:rsid w:val="0F9D22C5"/>
    <w:rsid w:val="19F47F83"/>
    <w:rsid w:val="1C6B5544"/>
    <w:rsid w:val="1D7BBE18"/>
    <w:rsid w:val="1F084114"/>
    <w:rsid w:val="22860BD3"/>
    <w:rsid w:val="310E70CF"/>
    <w:rsid w:val="3DE63FF0"/>
    <w:rsid w:val="4F5BA2FD"/>
    <w:rsid w:val="5356265C"/>
    <w:rsid w:val="56BE26F0"/>
    <w:rsid w:val="59D35B1C"/>
    <w:rsid w:val="5BA91D56"/>
    <w:rsid w:val="5BCB77E7"/>
    <w:rsid w:val="5C1A0018"/>
    <w:rsid w:val="5E843D1D"/>
    <w:rsid w:val="61730640"/>
    <w:rsid w:val="649B5EB9"/>
    <w:rsid w:val="653C6B95"/>
    <w:rsid w:val="67786A75"/>
    <w:rsid w:val="67FC7FF9"/>
    <w:rsid w:val="694420C2"/>
    <w:rsid w:val="6BF7582B"/>
    <w:rsid w:val="708A6612"/>
    <w:rsid w:val="730D3CA0"/>
    <w:rsid w:val="74602D6B"/>
    <w:rsid w:val="77BBCDB7"/>
    <w:rsid w:val="7E531D9B"/>
    <w:rsid w:val="7E778120"/>
    <w:rsid w:val="BB7EC900"/>
    <w:rsid w:val="BCDDF335"/>
    <w:rsid w:val="FFA6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Cambria" w:hAnsi="Cambria" w:cs="宋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0"/>
    </w:rPr>
  </w:style>
  <w:style w:type="paragraph" w:styleId="4">
    <w:name w:val="annotation text"/>
    <w:basedOn w:val="1"/>
    <w:qFormat/>
    <w:uiPriority w:val="0"/>
    <w:pPr>
      <w:jc w:val="left"/>
    </w:pPr>
  </w:style>
  <w:style w:type="paragraph" w:styleId="5">
    <w:name w:val="Body Text"/>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next w:val="1"/>
    <w:qFormat/>
    <w:uiPriority w:val="0"/>
    <w:pPr>
      <w:widowControl w:val="0"/>
      <w:spacing w:before="240" w:after="60"/>
      <w:jc w:val="center"/>
      <w:textAlignment w:val="baseline"/>
    </w:pPr>
    <w:rPr>
      <w:rFonts w:ascii="Cambria" w:hAnsi="Cambria" w:eastAsia="宋体" w:cs="仿宋_GB2312"/>
      <w:b/>
      <w:bCs/>
      <w:kern w:val="0"/>
      <w:sz w:val="32"/>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paragraph" w:customStyle="1" w:styleId="12">
    <w:name w:val="Default"/>
    <w:qFormat/>
    <w:uiPriority w:val="99"/>
    <w:pPr>
      <w:widowControl w:val="0"/>
      <w:autoSpaceDE w:val="0"/>
      <w:autoSpaceDN w:val="0"/>
      <w:adjustRightInd w:val="0"/>
    </w:pPr>
    <w:rPr>
      <w:rFonts w:ascii="楷体_GB2312" w:hAnsi="Times New Roman" w:eastAsia="楷体_GB2312" w:cs="Times New Roman"/>
      <w:color w:val="000000"/>
      <w:sz w:val="24"/>
      <w:szCs w:val="22"/>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2256</Words>
  <Characters>2324</Characters>
  <Lines>0</Lines>
  <Paragraphs>0</Paragraphs>
  <TotalTime>10</TotalTime>
  <ScaleCrop>false</ScaleCrop>
  <LinksUpToDate>false</LinksUpToDate>
  <CharactersWithSpaces>2349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2026-03-13T15:18:00Z</dcterms:created>
  <dc:creator>甘樂</dc:creator>
  <cp:lastModifiedBy>CJY</cp:lastModifiedBy>
  <cp:lastPrinted>2026-04-03T09:10:00Z</cp:lastPrinted>
  <dcterms:modified xsi:type="dcterms:W3CDTF">2026-05-21T10:36:53Z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1E2BE10B7A984BDAA2BC06E98A088578_13</vt:lpwstr>
  </property>
  <property fmtid="{D5CDD505-2E9C-101B-9397-08002B2CF9AE}" pid="4" name="KSOTemplateDocerSaveRecord">
    <vt:lpwstr>eyJoZGlkIjoiODY3ODc3YTBlMzkwNWM2MWMxNzgyMzkzNzFkMGRhYjQiLCJ1c2VySWQiOiIyOTM2OTY3ODgifQ==</vt:lpwstr>
  </property>
</Properties>
</file>