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93FE4">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79" w:lineRule="exact"/>
        <w:jc w:val="center"/>
        <w:textAlignment w:val="auto"/>
        <w:rPr>
          <w:rFonts w:hint="eastAsia" w:ascii="方正小标宋简体" w:hAnsi="方正小标宋简体" w:eastAsia="方正小标宋简体" w:cs="方正小标宋简体"/>
          <w:b w:val="0"/>
          <w:bCs/>
          <w:color w:val="auto"/>
          <w:spacing w:val="-11"/>
          <w:sz w:val="44"/>
          <w:szCs w:val="44"/>
        </w:rPr>
      </w:pPr>
      <w:r>
        <w:rPr>
          <w:rFonts w:hint="eastAsia" w:ascii="方正小标宋简体" w:hAnsi="方正小标宋简体" w:eastAsia="方正小标宋简体" w:cs="方正小标宋简体"/>
          <w:b w:val="0"/>
          <w:bCs/>
          <w:color w:val="auto"/>
          <w:spacing w:val="-11"/>
          <w:sz w:val="44"/>
          <w:szCs w:val="44"/>
        </w:rPr>
        <w:t>福田区残疾人机动轮椅车维修项目采购需求</w:t>
      </w:r>
    </w:p>
    <w:p w14:paraId="24A60E4A">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color w:val="auto"/>
        </w:rPr>
      </w:pPr>
    </w:p>
    <w:p w14:paraId="7F0E8C0C">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14:paraId="34CC0D4B">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为保障福田区残疾人出行便利，确保残疾人机动轮椅车性能良好，减少故障发生率，提升残疾人的出行安全感和满意度</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strike w:val="0"/>
          <w:dstrike w:val="0"/>
          <w:color w:val="auto"/>
          <w:sz w:val="32"/>
          <w:szCs w:val="32"/>
        </w:rPr>
        <w:t>根据</w:t>
      </w:r>
      <w:r>
        <w:rPr>
          <w:rFonts w:hint="eastAsia" w:ascii="仿宋_GB2312" w:hAnsi="仿宋_GB2312" w:eastAsia="仿宋_GB2312" w:cs="仿宋_GB2312"/>
          <w:b w:val="0"/>
          <w:bCs/>
          <w:strike w:val="0"/>
          <w:dstrike w:val="0"/>
          <w:color w:val="auto"/>
          <w:sz w:val="32"/>
          <w:szCs w:val="32"/>
          <w:lang w:eastAsia="zh-CN"/>
        </w:rPr>
        <w:t>《深圳市残疾人机动轮椅车维修细则》要求</w:t>
      </w:r>
      <w:r>
        <w:rPr>
          <w:rFonts w:hint="eastAsia" w:ascii="仿宋_GB2312" w:hAnsi="仿宋_GB2312" w:eastAsia="仿宋_GB2312" w:cs="仿宋_GB2312"/>
          <w:b w:val="0"/>
          <w:bCs/>
          <w:strike w:val="0"/>
          <w:dstrike w:val="0"/>
          <w:color w:val="auto"/>
          <w:sz w:val="32"/>
          <w:szCs w:val="32"/>
        </w:rPr>
        <w:t>，中心拟通过自行采购方式委托第三方</w:t>
      </w:r>
      <w:r>
        <w:rPr>
          <w:rFonts w:hint="eastAsia" w:ascii="仿宋_GB2312" w:hAnsi="仿宋_GB2312" w:eastAsia="仿宋_GB2312" w:cs="仿宋_GB2312"/>
          <w:b w:val="0"/>
          <w:bCs/>
          <w:strike w:val="0"/>
          <w:dstrike w:val="0"/>
          <w:color w:val="auto"/>
          <w:sz w:val="32"/>
          <w:szCs w:val="32"/>
          <w:lang w:eastAsia="zh-CN"/>
        </w:rPr>
        <w:t>按照维修工时费每年</w:t>
      </w:r>
      <w:r>
        <w:rPr>
          <w:rFonts w:hint="eastAsia" w:ascii="仿宋_GB2312" w:hAnsi="仿宋_GB2312" w:eastAsia="仿宋_GB2312" w:cs="仿宋_GB2312"/>
          <w:b w:val="0"/>
          <w:bCs/>
          <w:strike w:val="0"/>
          <w:dstrike w:val="0"/>
          <w:color w:val="auto"/>
          <w:sz w:val="32"/>
          <w:szCs w:val="32"/>
          <w:lang w:val="en-US" w:eastAsia="zh-CN"/>
        </w:rPr>
        <w:t>1000元/台</w:t>
      </w:r>
      <w:r>
        <w:rPr>
          <w:rFonts w:hint="eastAsia" w:ascii="仿宋_GB2312" w:hAnsi="仿宋_GB2312" w:eastAsia="仿宋_GB2312" w:cs="仿宋_GB2312"/>
          <w:b w:val="0"/>
          <w:bCs/>
          <w:strike w:val="0"/>
          <w:dstrike w:val="0"/>
          <w:color w:val="auto"/>
          <w:sz w:val="32"/>
          <w:szCs w:val="32"/>
          <w:lang w:eastAsia="zh-CN"/>
        </w:rPr>
        <w:t>的标准</w:t>
      </w:r>
      <w:r>
        <w:rPr>
          <w:rFonts w:hint="eastAsia" w:ascii="仿宋_GB2312" w:hAnsi="仿宋_GB2312" w:eastAsia="仿宋_GB2312" w:cs="仿宋_GB2312"/>
          <w:b w:val="0"/>
          <w:bCs/>
          <w:strike w:val="0"/>
          <w:dstrike w:val="0"/>
          <w:color w:val="auto"/>
          <w:sz w:val="32"/>
          <w:szCs w:val="32"/>
        </w:rPr>
        <w:t>为我区</w:t>
      </w:r>
      <w:r>
        <w:rPr>
          <w:rFonts w:hint="eastAsia" w:ascii="仿宋_GB2312" w:hAnsi="仿宋_GB2312" w:eastAsia="仿宋_GB2312" w:cs="仿宋_GB2312"/>
          <w:b w:val="0"/>
          <w:bCs/>
          <w:strike w:val="0"/>
          <w:dstrike w:val="0"/>
          <w:color w:val="auto"/>
          <w:sz w:val="32"/>
          <w:szCs w:val="32"/>
          <w:lang w:eastAsia="zh-CN"/>
        </w:rPr>
        <w:t>提供残疾人机动轮椅车维修、安全性能检查及回收拆解服务</w:t>
      </w:r>
      <w:r>
        <w:rPr>
          <w:rFonts w:hint="eastAsia" w:ascii="仿宋_GB2312" w:hAnsi="仿宋_GB2312" w:eastAsia="仿宋_GB2312" w:cs="仿宋_GB2312"/>
          <w:b w:val="0"/>
          <w:bCs/>
          <w:strike w:val="0"/>
          <w:dstrike w:val="0"/>
          <w:color w:val="auto"/>
          <w:sz w:val="32"/>
          <w:szCs w:val="32"/>
        </w:rPr>
        <w:t>，</w:t>
      </w:r>
      <w:r>
        <w:rPr>
          <w:rFonts w:hint="eastAsia" w:ascii="仿宋_GB2312" w:hAnsi="仿宋_GB2312" w:eastAsia="仿宋_GB2312" w:cs="仿宋_GB2312"/>
          <w:b w:val="0"/>
          <w:bCs/>
          <w:color w:val="auto"/>
          <w:sz w:val="32"/>
          <w:szCs w:val="32"/>
        </w:rPr>
        <w:t>采购预算金额为</w:t>
      </w:r>
      <w:r>
        <w:rPr>
          <w:rFonts w:hint="eastAsia" w:ascii="仿宋_GB2312" w:hAnsi="仿宋_GB2312" w:eastAsia="仿宋_GB2312" w:cs="仿宋_GB2312"/>
          <w:b w:val="0"/>
          <w:bCs/>
          <w:color w:val="auto"/>
          <w:sz w:val="32"/>
          <w:szCs w:val="32"/>
          <w:lang w:val="en-US" w:eastAsia="zh-CN"/>
        </w:rPr>
        <w:t>12.6</w:t>
      </w:r>
      <w:r>
        <w:rPr>
          <w:rFonts w:hint="eastAsia" w:ascii="仿宋_GB2312" w:hAnsi="仿宋_GB2312" w:eastAsia="仿宋_GB2312" w:cs="仿宋_GB2312"/>
          <w:b w:val="0"/>
          <w:bCs/>
          <w:color w:val="auto"/>
          <w:sz w:val="32"/>
          <w:szCs w:val="32"/>
        </w:rPr>
        <w:t>万元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kern w:val="0"/>
          <w:sz w:val="32"/>
          <w:szCs w:val="32"/>
          <w:lang w:eastAsia="zh-CN"/>
        </w:rPr>
        <w:t>结算</w:t>
      </w:r>
      <w:r>
        <w:rPr>
          <w:rFonts w:hint="eastAsia" w:ascii="仿宋_GB2312" w:hAnsi="仿宋_GB2312" w:eastAsia="仿宋_GB2312" w:cs="仿宋_GB2312"/>
          <w:color w:val="auto"/>
          <w:kern w:val="0"/>
          <w:sz w:val="32"/>
          <w:szCs w:val="32"/>
        </w:rPr>
        <w:t>金额以实际产生的金额为准，</w:t>
      </w:r>
      <w:r>
        <w:rPr>
          <w:rFonts w:hint="eastAsia" w:ascii="仿宋_GB2312" w:hAnsi="仿宋_GB2312" w:eastAsia="仿宋_GB2312" w:cs="仿宋_GB2312"/>
          <w:color w:val="auto"/>
          <w:kern w:val="0"/>
          <w:sz w:val="32"/>
          <w:szCs w:val="32"/>
          <w:lang w:eastAsia="zh-CN"/>
        </w:rPr>
        <w:t>但</w:t>
      </w:r>
      <w:r>
        <w:rPr>
          <w:rFonts w:hint="eastAsia" w:ascii="仿宋_GB2312" w:hAnsi="仿宋_GB2312" w:eastAsia="仿宋_GB2312" w:cs="仿宋_GB2312"/>
          <w:color w:val="auto"/>
          <w:kern w:val="0"/>
          <w:sz w:val="32"/>
          <w:szCs w:val="32"/>
        </w:rPr>
        <w:t>不得超过合同总金额</w:t>
      </w:r>
      <w:r>
        <w:rPr>
          <w:rFonts w:hint="eastAsia" w:ascii="仿宋_GB2312" w:hAnsi="仿宋_GB2312" w:eastAsia="仿宋_GB2312" w:cs="仿宋_GB2312"/>
          <w:b w:val="0"/>
          <w:bCs/>
          <w:color w:val="auto"/>
          <w:sz w:val="32"/>
          <w:szCs w:val="32"/>
        </w:rPr>
        <w:t>。</w:t>
      </w:r>
    </w:p>
    <w:p w14:paraId="46ED2EEC">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14:paraId="1681BBDE">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1.承接单位应指定一名采购负责人。承接单位应当满足以下资质：</w:t>
      </w:r>
    </w:p>
    <w:p w14:paraId="413BB7BF">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（1）具备车辆维修相关资质；</w:t>
      </w:r>
    </w:p>
    <w:p w14:paraId="14255522">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lang w:eastAsia="zh-CN"/>
        </w:rPr>
        <w:t>）拥有固定的维修场地，落实场地安全生产管理要求，并配备必要的维修设备和专用工具；</w:t>
      </w:r>
    </w:p>
    <w:p w14:paraId="74535CA8">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lang w:eastAsia="zh-CN"/>
        </w:rPr>
        <w:t>）配备具有车辆维修技术能力的工作人员；</w:t>
      </w:r>
    </w:p>
    <w:p w14:paraId="31EFA849">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lang w:eastAsia="zh-CN"/>
        </w:rPr>
        <w:t>）具备健全的规章制度和完善的技术作业规范。</w:t>
      </w:r>
    </w:p>
    <w:p w14:paraId="22CB1AAD">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lang w:eastAsia="zh-CN"/>
        </w:rPr>
        <w:t>服务要求</w:t>
      </w:r>
    </w:p>
    <w:p w14:paraId="64946A97">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lang w:eastAsia="zh-CN"/>
        </w:rPr>
        <w:t>）应按标准设置维修服务场所、维修服务设施，并达到维修管理和业务技术的基本要求；</w:t>
      </w:r>
    </w:p>
    <w:p w14:paraId="0D4ACBEA">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lang w:eastAsia="zh-CN"/>
        </w:rPr>
        <w:t>）应热情为残疾人服务，做好维修服务档案，便于联系及维修服务，做到随到随修，不得怠慢；</w:t>
      </w:r>
    </w:p>
    <w:p w14:paraId="3BCEAB72">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lang w:eastAsia="zh-CN"/>
        </w:rPr>
        <w:t>）不能及时满足机动轮椅车所有人需求时，要耐心做好解释工作并承诺解决办法和时间。在不存在缺少必要配件的情况下，最迟应在3日内完成机动轮椅车的维修；</w:t>
      </w:r>
    </w:p>
    <w:p w14:paraId="1A0AF8B0">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lang w:eastAsia="zh-CN"/>
        </w:rPr>
        <w:t>）禁止在出售或提供的商品（包括且不限于维修配件）时掺杂、掺假、以假充真、以次充好，或者以不合格商品冒充合格商品；</w:t>
      </w:r>
    </w:p>
    <w:p w14:paraId="3D4376BF">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color w:val="auto"/>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5</w:t>
      </w:r>
      <w:r>
        <w:rPr>
          <w:rFonts w:hint="eastAsia" w:ascii="仿宋_GB2312" w:eastAsia="仿宋_GB2312"/>
          <w:b w:val="0"/>
          <w:bCs/>
          <w:color w:val="auto"/>
          <w:sz w:val="32"/>
          <w:szCs w:val="32"/>
          <w:lang w:eastAsia="zh-CN"/>
        </w:rPr>
        <w:t>）应保障维修配件货源充足，常用配件不少于10件（套），非常用配件不少于3件（套），并注意及时补充货源。需对零部件价格办理备案，零部件价格目录应挂牌在维修点明显位置。</w:t>
      </w:r>
    </w:p>
    <w:p w14:paraId="61771A6F">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lang w:eastAsia="zh-CN"/>
        </w:rPr>
        <w:t>.项目完成后，提交相应的成果，具体包括：（1）残疾人机动轮椅车维修明细表；（2）维修服务满意度调查表；（</w:t>
      </w: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lang w:eastAsia="zh-CN"/>
        </w:rPr>
        <w:t>）车辆安全性能检查相关记录资料。</w:t>
      </w:r>
    </w:p>
    <w:p w14:paraId="75AD9A4E">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lang w:eastAsia="zh-CN"/>
        </w:rPr>
      </w:pPr>
      <w:r>
        <w:rPr>
          <w:rFonts w:hint="eastAsia" w:ascii="黑体" w:hAnsi="黑体" w:eastAsia="黑体" w:cs="黑体"/>
          <w:b w:val="0"/>
          <w:bCs/>
          <w:color w:val="auto"/>
          <w:sz w:val="32"/>
          <w:szCs w:val="32"/>
        </w:rPr>
        <w:t>三、</w:t>
      </w:r>
      <w:r>
        <w:rPr>
          <w:rFonts w:hint="eastAsia" w:ascii="黑体" w:hAnsi="黑体" w:eastAsia="黑体" w:cs="黑体"/>
          <w:b w:val="0"/>
          <w:bCs/>
          <w:color w:val="auto"/>
          <w:sz w:val="32"/>
          <w:szCs w:val="32"/>
          <w:lang w:eastAsia="zh-CN"/>
        </w:rPr>
        <w:t>评分细则</w:t>
      </w:r>
    </w:p>
    <w:tbl>
      <w:tblPr>
        <w:tblStyle w:val="12"/>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90"/>
        <w:gridCol w:w="848"/>
        <w:gridCol w:w="5305"/>
      </w:tblGrid>
      <w:tr w14:paraId="524E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623" w:type="dxa"/>
            <w:gridSpan w:val="2"/>
            <w:noWrap w:val="0"/>
            <w:vAlign w:val="center"/>
          </w:tcPr>
          <w:p w14:paraId="368D73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评判要素</w:t>
            </w:r>
          </w:p>
        </w:tc>
        <w:tc>
          <w:tcPr>
            <w:tcW w:w="848" w:type="dxa"/>
            <w:noWrap w:val="0"/>
            <w:vAlign w:val="center"/>
          </w:tcPr>
          <w:p w14:paraId="219B6E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权重</w:t>
            </w:r>
          </w:p>
        </w:tc>
        <w:tc>
          <w:tcPr>
            <w:tcW w:w="5305" w:type="dxa"/>
            <w:noWrap w:val="0"/>
            <w:vAlign w:val="center"/>
          </w:tcPr>
          <w:p w14:paraId="45521B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评分细则</w:t>
            </w:r>
          </w:p>
        </w:tc>
      </w:tr>
      <w:tr w14:paraId="0A38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623" w:type="dxa"/>
            <w:gridSpan w:val="2"/>
            <w:noWrap w:val="0"/>
            <w:vAlign w:val="center"/>
          </w:tcPr>
          <w:p w14:paraId="18BBECAC">
            <w:pPr>
              <w:spacing w:line="240" w:lineRule="auto"/>
              <w:jc w:val="center"/>
              <w:rPr>
                <w:rFonts w:hint="eastAsia" w:ascii="黑体" w:hAnsi="黑体" w:eastAsia="黑体" w:cs="黑体"/>
                <w:b/>
                <w:kern w:val="2"/>
                <w:sz w:val="22"/>
                <w:szCs w:val="22"/>
                <w:lang w:val="en-US" w:eastAsia="zh-CN" w:bidi="ar-SA"/>
              </w:rPr>
            </w:pPr>
            <w:r>
              <w:rPr>
                <w:rFonts w:hint="eastAsia" w:ascii="黑体" w:hAnsi="黑体" w:eastAsia="黑体" w:cs="黑体"/>
                <w:sz w:val="22"/>
                <w:szCs w:val="22"/>
                <w:highlight w:val="none"/>
                <w:vertAlign w:val="baseline"/>
                <w:lang w:val="en-US" w:eastAsia="zh-CN"/>
              </w:rPr>
              <w:t>一、价格</w:t>
            </w:r>
          </w:p>
        </w:tc>
        <w:tc>
          <w:tcPr>
            <w:tcW w:w="848" w:type="dxa"/>
            <w:noWrap w:val="0"/>
            <w:vAlign w:val="center"/>
          </w:tcPr>
          <w:p w14:paraId="0408C02C">
            <w:pPr>
              <w:spacing w:line="240" w:lineRule="auto"/>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highlight w:val="none"/>
                <w:vertAlign w:val="baseline"/>
                <w:lang w:val="en-US" w:eastAsia="zh-CN"/>
              </w:rPr>
              <w:t>15分</w:t>
            </w:r>
          </w:p>
        </w:tc>
        <w:tc>
          <w:tcPr>
            <w:tcW w:w="5305" w:type="dxa"/>
            <w:noWrap w:val="0"/>
            <w:vAlign w:val="center"/>
          </w:tcPr>
          <w:p w14:paraId="1C2DAFE5">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价格分采用低价优先法计算，即满足招标文件要求且投标价格最低的投标报价为评标基准价，其价格分为满分。</w:t>
            </w:r>
          </w:p>
          <w:p w14:paraId="74368323">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其他投标人的价格分统一按照下列公式计算：</w:t>
            </w:r>
          </w:p>
          <w:p w14:paraId="40B465C6">
            <w:pPr>
              <w:spacing w:line="240" w:lineRule="auto"/>
              <w:jc w:val="left"/>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b/>
                <w:bCs/>
                <w:sz w:val="21"/>
                <w:szCs w:val="21"/>
                <w:highlight w:val="none"/>
                <w:vertAlign w:val="baseline"/>
                <w:lang w:val="en-US" w:eastAsia="zh-CN"/>
              </w:rPr>
              <w:t>投标报价得分=(评标基准价／投标报价)×15</w:t>
            </w:r>
          </w:p>
        </w:tc>
      </w:tr>
      <w:tr w14:paraId="11F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dxa"/>
            <w:vMerge w:val="restart"/>
            <w:noWrap w:val="0"/>
            <w:vAlign w:val="center"/>
          </w:tcPr>
          <w:p w14:paraId="06CD491E">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二、服务</w:t>
            </w:r>
          </w:p>
        </w:tc>
        <w:tc>
          <w:tcPr>
            <w:tcW w:w="1690" w:type="dxa"/>
            <w:noWrap w:val="0"/>
            <w:vAlign w:val="center"/>
          </w:tcPr>
          <w:p w14:paraId="4315EC7E">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1.质量保障措施</w:t>
            </w:r>
          </w:p>
        </w:tc>
        <w:tc>
          <w:tcPr>
            <w:tcW w:w="848" w:type="dxa"/>
            <w:noWrap w:val="0"/>
            <w:vAlign w:val="center"/>
          </w:tcPr>
          <w:p w14:paraId="5941CFF7">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15分</w:t>
            </w:r>
          </w:p>
        </w:tc>
        <w:tc>
          <w:tcPr>
            <w:tcW w:w="5305" w:type="dxa"/>
            <w:noWrap w:val="0"/>
            <w:vAlign w:val="center"/>
          </w:tcPr>
          <w:p w14:paraId="7E88922A">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具备健全的规章制度和技术作业规范。</w:t>
            </w:r>
          </w:p>
          <w:p w14:paraId="7A79A4E1">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评审标准：</w:t>
            </w:r>
          </w:p>
          <w:p w14:paraId="1E86B9F2">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质量保障相关规章制度、技术作业规范整体体系完整，覆盖维修质控、配件管理、安全生产、人员管理、应急处置等核心管理环节，各项制度具备明确执行流程、管理要求、约束标准，贴合项目实际服务场景，可直接落地执行，整体完善度高，得15分。</w:t>
            </w:r>
          </w:p>
          <w:p w14:paraId="5F054E53">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2.具备基础的质量管控框架，核心作业、管理环节均有对应的制度条款，整体具备执行可行性，但部分细则内容简略、针对性一般，缺少细化执行标准，能够满足项目基本运行管理需求，得12分。</w:t>
            </w:r>
          </w:p>
          <w:p w14:paraId="3D47BEDF">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3.仅搭建简单框架，制度条款笼统宽泛，缺少具体执行流程、管控标准，内容单薄，仅能起到基础参考作用，落地性较弱，覆盖的管理环节较少，得9分。</w:t>
            </w:r>
          </w:p>
          <w:p w14:paraId="045D1FA2">
            <w:pPr>
              <w:spacing w:line="240" w:lineRule="auto"/>
              <w:jc w:val="left"/>
              <w:rPr>
                <w:rFonts w:hint="eastAsia"/>
                <w:lang w:val="en-US" w:eastAsia="zh-CN"/>
              </w:rPr>
            </w:pPr>
            <w:r>
              <w:rPr>
                <w:rFonts w:hint="eastAsia" w:ascii="仿宋_GB2312" w:hAnsi="仿宋_GB2312" w:eastAsia="仿宋_GB2312" w:cs="仿宋_GB2312"/>
                <w:sz w:val="21"/>
                <w:szCs w:val="21"/>
                <w:highlight w:val="none"/>
                <w:vertAlign w:val="baseline"/>
                <w:lang w:val="en-US" w:eastAsia="zh-CN"/>
              </w:rPr>
              <w:t>4.未提供任何规章制度、技术作业规范材料；或提供内容与本项目维修服务无关、完全不具备可执行性，本项不得分。</w:t>
            </w:r>
          </w:p>
        </w:tc>
      </w:tr>
      <w:tr w14:paraId="0290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33" w:type="dxa"/>
            <w:vMerge w:val="continue"/>
            <w:noWrap w:val="0"/>
            <w:vAlign w:val="center"/>
          </w:tcPr>
          <w:p w14:paraId="7C697802">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黑体" w:hAnsi="黑体" w:eastAsia="黑体" w:cs="黑体"/>
                <w:sz w:val="22"/>
                <w:szCs w:val="22"/>
                <w:highlight w:val="none"/>
                <w:vertAlign w:val="baseline"/>
                <w:lang w:val="en-US" w:eastAsia="zh-CN"/>
              </w:rPr>
            </w:pPr>
          </w:p>
        </w:tc>
        <w:tc>
          <w:tcPr>
            <w:tcW w:w="1690" w:type="dxa"/>
            <w:noWrap w:val="0"/>
            <w:vAlign w:val="center"/>
          </w:tcPr>
          <w:p w14:paraId="1180C453">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2.投入服务配套的设施情况</w:t>
            </w:r>
          </w:p>
        </w:tc>
        <w:tc>
          <w:tcPr>
            <w:tcW w:w="848" w:type="dxa"/>
            <w:noWrap w:val="0"/>
            <w:vAlign w:val="center"/>
          </w:tcPr>
          <w:p w14:paraId="29FA8282">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10分</w:t>
            </w:r>
          </w:p>
        </w:tc>
        <w:tc>
          <w:tcPr>
            <w:tcW w:w="5305" w:type="dxa"/>
            <w:noWrap w:val="0"/>
            <w:vAlign w:val="center"/>
          </w:tcPr>
          <w:p w14:paraId="233C7E6E">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投入服务配套的设施情况应满足以下要求：</w:t>
            </w:r>
          </w:p>
          <w:p w14:paraId="0B97B01C">
            <w:pPr>
              <w:numPr>
                <w:ilvl w:val="0"/>
                <w:numId w:val="0"/>
              </w:num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维修点面积不少于20平方米，提供场地租赁证明、现场实拍照片，同时提供安全生产相关管理资料（例如安全生产责任制度、场地安全管理细则、消防安全管理制度等，提供其一或多项均可）。全部条件满足且佐证材料齐全得5分，任一条件不达标不得分。</w:t>
            </w:r>
          </w:p>
          <w:p w14:paraId="221103AF">
            <w:pPr>
              <w:numPr>
                <w:ilvl w:val="0"/>
                <w:numId w:val="0"/>
              </w:num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2.配备必要的维修设备和专用工具，提供设备清单及实物照片佐证，达标得5分，不达标不得分。</w:t>
            </w:r>
          </w:p>
        </w:tc>
      </w:tr>
      <w:tr w14:paraId="58A0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33" w:type="dxa"/>
            <w:vMerge w:val="continue"/>
            <w:noWrap w:val="0"/>
            <w:vAlign w:val="center"/>
          </w:tcPr>
          <w:p w14:paraId="41A028B4">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黑体" w:hAnsi="黑体" w:eastAsia="黑体" w:cs="黑体"/>
                <w:sz w:val="22"/>
                <w:szCs w:val="22"/>
                <w:highlight w:val="none"/>
                <w:vertAlign w:val="baseline"/>
                <w:lang w:val="en-US" w:eastAsia="zh-CN"/>
              </w:rPr>
            </w:pPr>
          </w:p>
        </w:tc>
        <w:tc>
          <w:tcPr>
            <w:tcW w:w="1690" w:type="dxa"/>
            <w:noWrap w:val="0"/>
            <w:vAlign w:val="center"/>
          </w:tcPr>
          <w:p w14:paraId="09887465">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3.拟派本项目的服务人数、服务人员素质</w:t>
            </w:r>
          </w:p>
        </w:tc>
        <w:tc>
          <w:tcPr>
            <w:tcW w:w="848" w:type="dxa"/>
            <w:noWrap w:val="0"/>
            <w:vAlign w:val="center"/>
          </w:tcPr>
          <w:p w14:paraId="7CC32730">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30分</w:t>
            </w:r>
          </w:p>
        </w:tc>
        <w:tc>
          <w:tcPr>
            <w:tcW w:w="5305" w:type="dxa"/>
            <w:noWrap w:val="0"/>
            <w:vAlign w:val="center"/>
          </w:tcPr>
          <w:p w14:paraId="2708B975">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拟派本项目的服务人员不得少于2名，未达到该人数要求，本项不得分：</w:t>
            </w:r>
          </w:p>
          <w:p w14:paraId="3CA2F8A6">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1.拟投入本项目的项目工作人员具有车辆维修相关的资格证书，每提供一人得5分，最高得15分；</w:t>
            </w:r>
          </w:p>
          <w:p w14:paraId="478DABB6">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2.拟投入本项目的项目工作人员具有车辆维修相关工作经验，每提供一人得5分，最高得15分。</w:t>
            </w:r>
          </w:p>
        </w:tc>
      </w:tr>
      <w:tr w14:paraId="5C1E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933" w:type="dxa"/>
            <w:vMerge w:val="restart"/>
            <w:noWrap w:val="0"/>
            <w:vAlign w:val="center"/>
          </w:tcPr>
          <w:p w14:paraId="6BA97082">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三、综合实力</w:t>
            </w:r>
          </w:p>
        </w:tc>
        <w:tc>
          <w:tcPr>
            <w:tcW w:w="1690" w:type="dxa"/>
            <w:noWrap w:val="0"/>
            <w:vAlign w:val="center"/>
          </w:tcPr>
          <w:p w14:paraId="440E1E8D">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1.有效业绩</w:t>
            </w:r>
          </w:p>
        </w:tc>
        <w:tc>
          <w:tcPr>
            <w:tcW w:w="848" w:type="dxa"/>
            <w:noWrap w:val="0"/>
            <w:vAlign w:val="center"/>
          </w:tcPr>
          <w:p w14:paraId="65F99E8D">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20分</w:t>
            </w:r>
          </w:p>
        </w:tc>
        <w:tc>
          <w:tcPr>
            <w:tcW w:w="5305" w:type="dxa"/>
            <w:noWrap w:val="0"/>
            <w:vAlign w:val="center"/>
          </w:tcPr>
          <w:p w14:paraId="1D964BD7">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投标人具有残疾人机动轮椅车维修的业绩，每提供一份得5分；以此类推，最高得20分。不提供或者不能有效证明的，得0分。</w:t>
            </w:r>
          </w:p>
          <w:p w14:paraId="486AC95F">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证明文件：</w:t>
            </w:r>
          </w:p>
          <w:p w14:paraId="72D65E69">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供应商须提供项目合同关键页，未按要求提供或无法判断则不得分，原件备查。</w:t>
            </w:r>
          </w:p>
        </w:tc>
      </w:tr>
      <w:tr w14:paraId="6173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vMerge w:val="continue"/>
            <w:noWrap w:val="0"/>
            <w:vAlign w:val="center"/>
          </w:tcPr>
          <w:p w14:paraId="04D964E6">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黑体" w:hAnsi="黑体" w:eastAsia="黑体" w:cs="黑体"/>
                <w:sz w:val="22"/>
                <w:szCs w:val="22"/>
                <w:highlight w:val="none"/>
                <w:vertAlign w:val="baseline"/>
                <w:lang w:val="en-US" w:eastAsia="zh-CN"/>
              </w:rPr>
            </w:pPr>
          </w:p>
        </w:tc>
        <w:tc>
          <w:tcPr>
            <w:tcW w:w="1690" w:type="dxa"/>
            <w:noWrap w:val="0"/>
            <w:vAlign w:val="center"/>
          </w:tcPr>
          <w:p w14:paraId="27CBC132">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default"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2.诚信情况</w:t>
            </w:r>
          </w:p>
        </w:tc>
        <w:tc>
          <w:tcPr>
            <w:tcW w:w="848" w:type="dxa"/>
            <w:noWrap w:val="0"/>
            <w:vAlign w:val="center"/>
          </w:tcPr>
          <w:p w14:paraId="3B1044C0">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5分</w:t>
            </w:r>
          </w:p>
        </w:tc>
        <w:tc>
          <w:tcPr>
            <w:tcW w:w="5305" w:type="dxa"/>
            <w:noWrap w:val="0"/>
            <w:vAlign w:val="center"/>
          </w:tcPr>
          <w:p w14:paraId="5FB9947B">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根据《深圳市政府采购供应商诚信管理暂行办法》相关规定，响应人在参与政府采购活动中出现诚信相关问题且在相关主管部门处理措施实施期限内的本项不得分，否则得满分。（须提供《诚信承诺函》原件加盖投标人公章，按采购需求格式要求提供，不提供不得分。如被认定提供的陈述与事实不符的，依法追究其责任）。</w:t>
            </w:r>
          </w:p>
        </w:tc>
      </w:tr>
      <w:tr w14:paraId="355C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33" w:type="dxa"/>
            <w:vMerge w:val="continue"/>
            <w:noWrap w:val="0"/>
            <w:vAlign w:val="center"/>
          </w:tcPr>
          <w:p w14:paraId="6FCD66BD">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黑体" w:hAnsi="黑体" w:eastAsia="黑体" w:cs="黑体"/>
                <w:sz w:val="22"/>
                <w:szCs w:val="22"/>
                <w:highlight w:val="none"/>
                <w:vertAlign w:val="baseline"/>
                <w:lang w:val="en-US" w:eastAsia="zh-CN"/>
              </w:rPr>
            </w:pPr>
          </w:p>
        </w:tc>
        <w:tc>
          <w:tcPr>
            <w:tcW w:w="1690" w:type="dxa"/>
            <w:noWrap w:val="0"/>
            <w:vAlign w:val="center"/>
          </w:tcPr>
          <w:p w14:paraId="410BF892">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3.荣誉</w:t>
            </w:r>
          </w:p>
        </w:tc>
        <w:tc>
          <w:tcPr>
            <w:tcW w:w="848" w:type="dxa"/>
            <w:noWrap w:val="0"/>
            <w:vAlign w:val="center"/>
          </w:tcPr>
          <w:p w14:paraId="66551ABA">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5分</w:t>
            </w:r>
          </w:p>
        </w:tc>
        <w:tc>
          <w:tcPr>
            <w:tcW w:w="5305" w:type="dxa"/>
            <w:noWrap w:val="0"/>
            <w:vAlign w:val="center"/>
          </w:tcPr>
          <w:p w14:paraId="0DB3E91D">
            <w:pPr>
              <w:spacing w:line="240" w:lineRule="auto"/>
              <w:jc w:val="left"/>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投标人获得服务服务对象、其他社会组织及有关单位的表彰及认可，并能提供有效证明的，得5分。不提供或者不能有效证明的，得0分。</w:t>
            </w:r>
          </w:p>
        </w:tc>
      </w:tr>
    </w:tbl>
    <w:p w14:paraId="0B43AFFA">
      <w:pPr>
        <w:keepNext w:val="0"/>
        <w:keepLines w:val="0"/>
        <w:pageBreakBefore w:val="0"/>
        <w:widowControl w:val="0"/>
        <w:numPr>
          <w:ilvl w:val="0"/>
          <w:numId w:val="0"/>
        </w:numPr>
        <w:kinsoku/>
        <w:wordWrap/>
        <w:overflowPunct/>
        <w:topLinePunct w:val="0"/>
        <w:autoSpaceDE/>
        <w:autoSpaceDN/>
        <w:bidi w:val="0"/>
        <w:adjustRightInd/>
        <w:snapToGrid w:val="0"/>
        <w:spacing w:line="450" w:lineRule="exact"/>
        <w:textAlignment w:val="auto"/>
        <w:rPr>
          <w:rFonts w:hint="eastAsia" w:ascii="黑体" w:hAnsi="黑体" w:eastAsia="黑体" w:cs="黑体"/>
          <w:b w:val="0"/>
          <w:bCs/>
          <w:color w:val="auto"/>
          <w:sz w:val="32"/>
          <w:szCs w:val="32"/>
        </w:rPr>
      </w:pPr>
    </w:p>
    <w:p w14:paraId="41850520">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商务需求</w:t>
      </w:r>
    </w:p>
    <w:p w14:paraId="5CD5AD16">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仿宋_GB2312" w:eastAsia="仿宋_GB2312"/>
          <w:b w:val="0"/>
          <w:bCs/>
          <w:color w:val="auto"/>
          <w:sz w:val="32"/>
          <w:szCs w:val="32"/>
          <w:lang w:eastAsia="zh-CN"/>
        </w:rPr>
        <w:t>（一）</w:t>
      </w:r>
      <w:r>
        <w:rPr>
          <w:rFonts w:hint="eastAsia" w:ascii="仿宋_GB2312" w:eastAsia="仿宋_GB2312"/>
          <w:b w:val="0"/>
          <w:bCs/>
          <w:color w:val="auto"/>
          <w:sz w:val="32"/>
          <w:szCs w:val="32"/>
        </w:rPr>
        <w:t>服务期：</w:t>
      </w:r>
      <w:r>
        <w:rPr>
          <w:rFonts w:hint="eastAsia" w:ascii="仿宋_GB2312" w:hAnsi="仿宋_GB2312" w:eastAsia="仿宋_GB2312" w:cs="仿宋_GB2312"/>
          <w:b w:val="0"/>
          <w:bCs w:val="0"/>
          <w:color w:val="auto"/>
          <w:sz w:val="32"/>
          <w:szCs w:val="32"/>
          <w:highlight w:val="none"/>
          <w:lang w:val="en-US" w:eastAsia="zh-CN"/>
        </w:rPr>
        <w:t>服务期为1年，根据合同情况商定。</w:t>
      </w:r>
    </w:p>
    <w:p w14:paraId="06FEB95C">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（二）</w:t>
      </w:r>
      <w:r>
        <w:rPr>
          <w:rFonts w:hint="eastAsia" w:ascii="仿宋_GB2312" w:eastAsia="仿宋_GB2312"/>
          <w:b w:val="0"/>
          <w:bCs/>
          <w:color w:val="auto"/>
          <w:sz w:val="32"/>
          <w:szCs w:val="32"/>
        </w:rPr>
        <w:t>服务地点：</w:t>
      </w:r>
      <w:r>
        <w:rPr>
          <w:rFonts w:hint="eastAsia" w:ascii="仿宋_GB2312" w:eastAsia="仿宋_GB2312"/>
          <w:b w:val="0"/>
          <w:bCs/>
          <w:color w:val="auto"/>
          <w:sz w:val="32"/>
          <w:szCs w:val="32"/>
          <w:lang w:eastAsia="zh-CN"/>
        </w:rPr>
        <w:t>维修点或</w:t>
      </w:r>
      <w:r>
        <w:rPr>
          <w:rFonts w:hint="eastAsia" w:ascii="仿宋_GB2312" w:hAnsi="仿宋_GB2312" w:eastAsia="仿宋_GB2312" w:cs="仿宋_GB2312"/>
          <w:color w:val="auto"/>
          <w:sz w:val="32"/>
          <w:szCs w:val="32"/>
          <w:highlight w:val="none"/>
        </w:rPr>
        <w:t>入户</w:t>
      </w:r>
      <w:r>
        <w:rPr>
          <w:rFonts w:hint="eastAsia" w:ascii="仿宋_GB2312" w:eastAsia="仿宋_GB2312"/>
          <w:b w:val="0"/>
          <w:bCs/>
          <w:color w:val="auto"/>
          <w:sz w:val="32"/>
          <w:szCs w:val="32"/>
          <w:lang w:eastAsia="zh-CN"/>
        </w:rPr>
        <w:t>服务（</w:t>
      </w:r>
      <w:r>
        <w:rPr>
          <w:rFonts w:hint="eastAsia" w:ascii="仿宋_GB2312" w:hAnsi="仿宋_GB2312" w:eastAsia="仿宋_GB2312" w:cs="仿宋_GB2312"/>
          <w:color w:val="auto"/>
          <w:sz w:val="32"/>
          <w:szCs w:val="32"/>
          <w:highlight w:val="none"/>
        </w:rPr>
        <w:t>确有困难不能自行前往的</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w:t>
      </w:r>
    </w:p>
    <w:p w14:paraId="59DA732B">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（三）</w:t>
      </w:r>
      <w:r>
        <w:rPr>
          <w:rFonts w:hint="eastAsia" w:ascii="仿宋_GB2312" w:eastAsia="仿宋_GB2312"/>
          <w:b w:val="0"/>
          <w:bCs/>
          <w:color w:val="auto"/>
          <w:sz w:val="32"/>
          <w:szCs w:val="32"/>
        </w:rPr>
        <w:t>报价要求：</w:t>
      </w:r>
    </w:p>
    <w:p w14:paraId="24AF8CC9">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rPr>
        <w:t>本采购服务费应包括服务成本、法定税费和企业的利润。由企业根据采购文件所提供的资料自行测算投标报价</w:t>
      </w:r>
      <w:r>
        <w:rPr>
          <w:rFonts w:hint="eastAsia" w:ascii="仿宋_GB2312" w:eastAsia="仿宋_GB2312"/>
          <w:b w:val="0"/>
          <w:bCs/>
          <w:color w:val="auto"/>
          <w:sz w:val="32"/>
          <w:szCs w:val="32"/>
          <w:lang w:eastAsia="zh-CN"/>
        </w:rPr>
        <w:t>。</w:t>
      </w:r>
    </w:p>
    <w:p w14:paraId="6F908279">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rPr>
        <w:t>响应人的报价</w:t>
      </w:r>
      <w:r>
        <w:rPr>
          <w:rFonts w:hint="eastAsia" w:ascii="仿宋_GB2312" w:eastAsia="仿宋_GB2312"/>
          <w:b w:val="0"/>
          <w:bCs/>
          <w:color w:val="auto"/>
          <w:sz w:val="32"/>
          <w:szCs w:val="32"/>
          <w:lang w:eastAsia="zh-CN"/>
        </w:rPr>
        <w:t>应为</w:t>
      </w:r>
      <w:r>
        <w:rPr>
          <w:rFonts w:hint="eastAsia" w:ascii="仿宋_GB2312" w:eastAsia="仿宋_GB2312"/>
          <w:b w:val="0"/>
          <w:bCs/>
          <w:color w:val="auto"/>
          <w:sz w:val="32"/>
          <w:szCs w:val="32"/>
        </w:rPr>
        <w:t>采购预算金额；</w:t>
      </w:r>
    </w:p>
    <w:p w14:paraId="5D44ACAF">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rPr>
        <w:t>响应人的报价，应是本项目范围和采购文件及合同条款上所列的各项内容中所述的全部，不得以任何理由予以重复，并以响应人最终提出的综合单价或总价为依据；</w:t>
      </w:r>
    </w:p>
    <w:p w14:paraId="7C4F9AE5">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rPr>
        <w:t>除非采购人通过修改采购文件予以更正，否则，响应人应毫无例外地按响应文件所列的清单中项目和数量填报综合单价和合价。响应人未填综合单价或合价的项目，在实施后，将不得以支付，并视作该项费用已包括在其它有价款的综合单价或合价内；</w:t>
      </w:r>
    </w:p>
    <w:p w14:paraId="39528B33">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5.</w:t>
      </w:r>
      <w:r>
        <w:rPr>
          <w:rFonts w:hint="eastAsia" w:ascii="仿宋_GB2312" w:eastAsia="仿宋_GB2312"/>
          <w:b w:val="0"/>
          <w:bCs/>
          <w:color w:val="auto"/>
          <w:sz w:val="32"/>
          <w:szCs w:val="32"/>
        </w:rPr>
        <w:t>响应人应向采购人咨询了解项目情况及任何其它足以影响投标报价的情况，任何因忽视或误解项目情况而导致的索赔或服务期限延长申请将不获批准；</w:t>
      </w:r>
    </w:p>
    <w:p w14:paraId="6EC3C8FD">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6.</w:t>
      </w:r>
      <w:r>
        <w:rPr>
          <w:rFonts w:hint="eastAsia" w:ascii="仿宋_GB2312" w:eastAsia="仿宋_GB2312"/>
          <w:b w:val="0"/>
          <w:bCs/>
          <w:color w:val="auto"/>
          <w:sz w:val="32"/>
          <w:szCs w:val="32"/>
        </w:rPr>
        <w:t>响应人不得期望通过索赔等方式获取补偿，否则，除可能遭到拒绝外，还可能将被作为不良行为记录在案，并可能影响其以后参加政府采购的项目投标。各响应人在报价时，应充分考虑报价的风险。</w:t>
      </w:r>
    </w:p>
    <w:p w14:paraId="779A7689">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（四）</w:t>
      </w:r>
      <w:r>
        <w:rPr>
          <w:rFonts w:hint="eastAsia" w:ascii="仿宋_GB2312" w:eastAsia="仿宋_GB2312"/>
          <w:b w:val="0"/>
          <w:bCs/>
          <w:color w:val="auto"/>
          <w:sz w:val="32"/>
          <w:szCs w:val="32"/>
        </w:rPr>
        <w:t>付款方式：</w:t>
      </w:r>
      <w:r>
        <w:rPr>
          <w:rFonts w:hint="eastAsia" w:ascii="仿宋_GB2312" w:eastAsia="仿宋_GB2312"/>
          <w:b w:val="0"/>
          <w:bCs/>
          <w:color w:val="auto"/>
          <w:sz w:val="32"/>
          <w:szCs w:val="32"/>
          <w:lang w:eastAsia="zh-CN"/>
        </w:rPr>
        <w:t>由承接单位与采购人双方协商确定付款方式。</w:t>
      </w:r>
    </w:p>
    <w:p w14:paraId="0C9DA35E">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（五）验收</w:t>
      </w:r>
      <w:r>
        <w:rPr>
          <w:rFonts w:hint="eastAsia" w:ascii="仿宋_GB2312" w:eastAsia="仿宋_GB2312"/>
          <w:b w:val="0"/>
          <w:bCs/>
          <w:color w:val="auto"/>
          <w:sz w:val="32"/>
          <w:szCs w:val="32"/>
        </w:rPr>
        <w:t>：</w:t>
      </w:r>
      <w:r>
        <w:rPr>
          <w:rFonts w:hint="eastAsia" w:ascii="仿宋_GB2312" w:eastAsia="仿宋_GB2312"/>
          <w:b w:val="0"/>
          <w:bCs/>
          <w:color w:val="auto"/>
          <w:sz w:val="32"/>
          <w:szCs w:val="32"/>
          <w:lang w:eastAsia="zh-CN"/>
        </w:rPr>
        <w:t>采购人</w:t>
      </w:r>
      <w:r>
        <w:rPr>
          <w:rFonts w:hint="eastAsia" w:ascii="仿宋_GB2312" w:eastAsia="仿宋_GB2312"/>
          <w:b w:val="0"/>
          <w:bCs/>
          <w:color w:val="auto"/>
          <w:sz w:val="32"/>
          <w:szCs w:val="32"/>
        </w:rPr>
        <w:t>在项目服务期到期后，将按照合同约定的服务内容对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的服务进行逐项验收。项目验收后，双方共同签署验收报告，验收报告内容包括</w:t>
      </w:r>
      <w:r>
        <w:rPr>
          <w:rFonts w:hint="eastAsia" w:ascii="仿宋_GB2312" w:eastAsia="仿宋_GB2312"/>
          <w:b w:val="0"/>
          <w:bCs/>
          <w:color w:val="auto"/>
          <w:sz w:val="32"/>
          <w:szCs w:val="32"/>
          <w:lang w:eastAsia="zh-CN"/>
        </w:rPr>
        <w:t>承接单位是否按照合同约定开展服务，承接单位提交的</w:t>
      </w:r>
      <w:r>
        <w:rPr>
          <w:rFonts w:hint="eastAsia" w:ascii="仿宋_GB2312" w:eastAsia="仿宋_GB2312"/>
          <w:b w:val="0"/>
          <w:bCs/>
          <w:color w:val="auto"/>
          <w:sz w:val="32"/>
          <w:szCs w:val="32"/>
        </w:rPr>
        <w:t>相应成果</w:t>
      </w:r>
      <w:r>
        <w:rPr>
          <w:rFonts w:hint="eastAsia" w:ascii="仿宋_GB2312" w:eastAsia="仿宋_GB2312"/>
          <w:b w:val="0"/>
          <w:bCs/>
          <w:color w:val="auto"/>
          <w:sz w:val="32"/>
          <w:szCs w:val="32"/>
          <w:lang w:eastAsia="zh-CN"/>
        </w:rPr>
        <w:t>将</w:t>
      </w:r>
      <w:r>
        <w:rPr>
          <w:rFonts w:hint="eastAsia" w:ascii="仿宋_GB2312" w:eastAsia="仿宋_GB2312"/>
          <w:b w:val="0"/>
          <w:bCs/>
          <w:color w:val="auto"/>
          <w:sz w:val="32"/>
          <w:szCs w:val="32"/>
        </w:rPr>
        <w:t>作为服务费尾款支付的重要依据。</w:t>
      </w:r>
    </w:p>
    <w:p w14:paraId="658767A3">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（六）</w:t>
      </w:r>
      <w:r>
        <w:rPr>
          <w:rFonts w:hint="eastAsia" w:ascii="仿宋_GB2312" w:eastAsia="仿宋_GB2312"/>
          <w:b w:val="0"/>
          <w:bCs/>
          <w:color w:val="auto"/>
          <w:sz w:val="32"/>
          <w:szCs w:val="32"/>
        </w:rPr>
        <w:t>违约责任：根据合同情况商定</w:t>
      </w:r>
      <w:r>
        <w:rPr>
          <w:rFonts w:hint="eastAsia" w:ascii="仿宋_GB2312" w:eastAsia="仿宋_GB2312"/>
          <w:b w:val="0"/>
          <w:bCs/>
          <w:color w:val="auto"/>
          <w:sz w:val="32"/>
          <w:szCs w:val="32"/>
          <w:lang w:eastAsia="zh-CN"/>
        </w:rPr>
        <w:t>。</w:t>
      </w:r>
    </w:p>
    <w:p w14:paraId="705E217E">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（七）其他：</w:t>
      </w:r>
      <w:r>
        <w:rPr>
          <w:rFonts w:hint="eastAsia" w:ascii="仿宋_GB2312" w:eastAsia="仿宋_GB2312"/>
          <w:b w:val="0"/>
          <w:bCs/>
          <w:color w:val="auto"/>
          <w:sz w:val="32"/>
          <w:szCs w:val="32"/>
        </w:rPr>
        <w:t>承接单位必须对该采购所涉及的相应内容、数据予以保密。</w:t>
      </w:r>
    </w:p>
    <w:p w14:paraId="373D55B3">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（八）响应截止时间：202</w:t>
      </w:r>
      <w:r>
        <w:rPr>
          <w:rFonts w:hint="eastAsia" w:ascii="仿宋_GB2312" w:eastAsia="仿宋_GB2312" w:cs="Times New Roman"/>
          <w:b w:val="0"/>
          <w:bCs/>
          <w:color w:val="auto"/>
          <w:kern w:val="2"/>
          <w:sz w:val="32"/>
          <w:szCs w:val="32"/>
          <w:highlight w:val="none"/>
          <w:lang w:val="en-US" w:eastAsia="zh-CN" w:bidi="ar-SA"/>
        </w:rPr>
        <w:t>6</w:t>
      </w:r>
      <w:r>
        <w:rPr>
          <w:rFonts w:hint="eastAsia" w:ascii="仿宋_GB2312" w:hAnsi="Calibri" w:eastAsia="仿宋_GB2312" w:cs="Times New Roman"/>
          <w:b w:val="0"/>
          <w:bCs/>
          <w:color w:val="auto"/>
          <w:kern w:val="2"/>
          <w:sz w:val="32"/>
          <w:szCs w:val="32"/>
          <w:highlight w:val="none"/>
          <w:lang w:val="en-US" w:eastAsia="zh-CN" w:bidi="ar-SA"/>
        </w:rPr>
        <w:t>年</w:t>
      </w:r>
      <w:r>
        <w:rPr>
          <w:rFonts w:hint="eastAsia" w:ascii="仿宋_GB2312" w:eastAsia="仿宋_GB2312" w:cs="Times New Roman"/>
          <w:b w:val="0"/>
          <w:bCs/>
          <w:color w:val="auto"/>
          <w:kern w:val="2"/>
          <w:sz w:val="32"/>
          <w:szCs w:val="32"/>
          <w:highlight w:val="none"/>
          <w:lang w:val="en-US" w:eastAsia="zh-CN" w:bidi="ar-SA"/>
        </w:rPr>
        <w:t>7</w:t>
      </w:r>
      <w:r>
        <w:rPr>
          <w:rFonts w:hint="eastAsia" w:ascii="仿宋_GB2312" w:hAnsi="Calibri" w:eastAsia="仿宋_GB2312" w:cs="Times New Roman"/>
          <w:b w:val="0"/>
          <w:bCs/>
          <w:color w:val="auto"/>
          <w:kern w:val="2"/>
          <w:sz w:val="32"/>
          <w:szCs w:val="32"/>
          <w:highlight w:val="none"/>
          <w:lang w:val="en-US" w:eastAsia="zh-CN" w:bidi="ar-SA"/>
        </w:rPr>
        <w:t>月</w:t>
      </w:r>
      <w:r>
        <w:rPr>
          <w:rFonts w:hint="eastAsia" w:ascii="仿宋_GB2312" w:eastAsia="仿宋_GB2312" w:cs="Times New Roman"/>
          <w:b w:val="0"/>
          <w:bCs/>
          <w:color w:val="auto"/>
          <w:kern w:val="2"/>
          <w:sz w:val="32"/>
          <w:szCs w:val="32"/>
          <w:highlight w:val="none"/>
          <w:lang w:val="en-US" w:eastAsia="zh-CN" w:bidi="ar-SA"/>
        </w:rPr>
        <w:t>6</w:t>
      </w:r>
      <w:r>
        <w:rPr>
          <w:rFonts w:hint="eastAsia" w:ascii="仿宋_GB2312" w:hAnsi="Calibri" w:eastAsia="仿宋_GB2312" w:cs="Times New Roman"/>
          <w:b w:val="0"/>
          <w:bCs/>
          <w:color w:val="auto"/>
          <w:kern w:val="2"/>
          <w:sz w:val="32"/>
          <w:szCs w:val="32"/>
          <w:highlight w:val="none"/>
          <w:lang w:val="en-US" w:eastAsia="zh-CN" w:bidi="ar-SA"/>
        </w:rPr>
        <w:t>日。</w:t>
      </w:r>
    </w:p>
    <w:p w14:paraId="49C3326E">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（九）</w:t>
      </w:r>
      <w:r>
        <w:rPr>
          <w:rFonts w:hint="eastAsia" w:ascii="仿宋_GB2312" w:eastAsia="仿宋_GB2312" w:cs="Times New Roman"/>
          <w:b w:val="0"/>
          <w:bCs/>
          <w:color w:val="auto"/>
          <w:kern w:val="2"/>
          <w:sz w:val="32"/>
          <w:szCs w:val="32"/>
          <w:lang w:val="en-US" w:eastAsia="zh-CN" w:bidi="ar-SA"/>
        </w:rPr>
        <w:t>提供材料</w:t>
      </w:r>
      <w:r>
        <w:rPr>
          <w:rFonts w:hint="eastAsia" w:ascii="仿宋_GB2312" w:hAnsi="Calibri" w:eastAsia="仿宋_GB2312" w:cs="Times New Roman"/>
          <w:b w:val="0"/>
          <w:bCs/>
          <w:color w:val="auto"/>
          <w:kern w:val="2"/>
          <w:sz w:val="32"/>
          <w:szCs w:val="32"/>
          <w:lang w:val="en-US" w:eastAsia="zh-CN" w:bidi="ar-SA"/>
        </w:rPr>
        <w:t>：</w:t>
      </w:r>
    </w:p>
    <w:p w14:paraId="623362D7">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1.招标文件响应声明书（附件1）</w:t>
      </w:r>
    </w:p>
    <w:p w14:paraId="2CBBB0A2">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2.报价一览表（附件2）</w:t>
      </w:r>
    </w:p>
    <w:p w14:paraId="29354BF1">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3.营业执照</w:t>
      </w:r>
    </w:p>
    <w:p w14:paraId="3AF5CBBD">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4.法定代表人有效的身份证复印件、法定代表人授权书原件和被授权人身份证复印件（附件3）</w:t>
      </w:r>
    </w:p>
    <w:p w14:paraId="4A86BA35">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5.政府采购违法行为风险知悉确认书（附件4）</w:t>
      </w:r>
    </w:p>
    <w:p w14:paraId="1144D0B6">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6.政府采购投标及履约承诺函（附件5）</w:t>
      </w:r>
    </w:p>
    <w:p w14:paraId="617F93C6">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7.无不良行为承诺书（附件6）</w:t>
      </w:r>
    </w:p>
    <w:p w14:paraId="7382543F">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8.《供应商基本情况表》（附件7）</w:t>
      </w:r>
    </w:p>
    <w:p w14:paraId="6E580FBB">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9.投标人诚信承诺函（附件8）</w:t>
      </w:r>
    </w:p>
    <w:p w14:paraId="4F3C7012">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10.质量保障措施</w:t>
      </w:r>
    </w:p>
    <w:p w14:paraId="473DCC00">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11.场地租赁证明、现场实拍图佐证</w:t>
      </w:r>
    </w:p>
    <w:p w14:paraId="79449212">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12.场地安全生产相关管理资料</w:t>
      </w:r>
    </w:p>
    <w:p w14:paraId="7CE31382">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13.维修设备和专用工具清单及实物照片佐证</w:t>
      </w:r>
    </w:p>
    <w:p w14:paraId="6254B38F">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1</w:t>
      </w:r>
      <w:r>
        <w:rPr>
          <w:rFonts w:hint="eastAsia" w:ascii="仿宋_GB2312" w:eastAsia="仿宋_GB2312" w:cs="Times New Roman"/>
          <w:b w:val="0"/>
          <w:bCs/>
          <w:color w:val="auto"/>
          <w:kern w:val="2"/>
          <w:sz w:val="32"/>
          <w:szCs w:val="32"/>
          <w:lang w:val="en-US" w:eastAsia="zh-CN" w:bidi="ar-SA"/>
        </w:rPr>
        <w:t>4.</w:t>
      </w:r>
      <w:r>
        <w:rPr>
          <w:rFonts w:hint="eastAsia" w:ascii="仿宋_GB2312" w:hAnsi="Calibri" w:eastAsia="仿宋_GB2312" w:cs="Times New Roman"/>
          <w:b w:val="0"/>
          <w:bCs/>
          <w:color w:val="auto"/>
          <w:kern w:val="2"/>
          <w:sz w:val="32"/>
          <w:szCs w:val="32"/>
          <w:lang w:val="en-US" w:eastAsia="zh-CN" w:bidi="ar-SA"/>
        </w:rPr>
        <w:t>项目</w:t>
      </w:r>
      <w:r>
        <w:rPr>
          <w:rFonts w:hint="eastAsia" w:ascii="仿宋_GB2312" w:eastAsia="仿宋_GB2312" w:cs="Times New Roman"/>
          <w:b w:val="0"/>
          <w:bCs/>
          <w:color w:val="auto"/>
          <w:kern w:val="2"/>
          <w:sz w:val="32"/>
          <w:szCs w:val="32"/>
          <w:lang w:val="en-US" w:eastAsia="zh-CN" w:bidi="ar-SA"/>
        </w:rPr>
        <w:t>服务</w:t>
      </w:r>
      <w:r>
        <w:rPr>
          <w:rFonts w:hint="eastAsia" w:ascii="仿宋_GB2312" w:hAnsi="Calibri" w:eastAsia="仿宋_GB2312" w:cs="Times New Roman"/>
          <w:b w:val="0"/>
          <w:bCs/>
          <w:color w:val="auto"/>
          <w:kern w:val="2"/>
          <w:sz w:val="32"/>
          <w:szCs w:val="32"/>
          <w:lang w:val="en-US" w:eastAsia="zh-CN" w:bidi="ar-SA"/>
        </w:rPr>
        <w:t>团队成员</w:t>
      </w:r>
      <w:r>
        <w:rPr>
          <w:rFonts w:hint="eastAsia" w:ascii="仿宋_GB2312" w:eastAsia="仿宋_GB2312" w:cs="Times New Roman"/>
          <w:b w:val="0"/>
          <w:bCs/>
          <w:color w:val="auto"/>
          <w:kern w:val="2"/>
          <w:sz w:val="32"/>
          <w:szCs w:val="32"/>
          <w:lang w:val="en-US" w:eastAsia="zh-CN" w:bidi="ar-SA"/>
        </w:rPr>
        <w:t>资质证书</w:t>
      </w:r>
      <w:r>
        <w:rPr>
          <w:rFonts w:hint="eastAsia" w:ascii="仿宋_GB2312" w:hAnsi="Calibri" w:eastAsia="仿宋_GB2312" w:cs="Times New Roman"/>
          <w:b w:val="0"/>
          <w:bCs/>
          <w:color w:val="auto"/>
          <w:kern w:val="2"/>
          <w:sz w:val="32"/>
          <w:szCs w:val="32"/>
          <w:lang w:val="en-US" w:eastAsia="zh-CN" w:bidi="ar-SA"/>
        </w:rPr>
        <w:t>及</w:t>
      </w:r>
      <w:r>
        <w:rPr>
          <w:rFonts w:hint="eastAsia" w:ascii="仿宋_GB2312" w:eastAsia="仿宋_GB2312" w:cs="Times New Roman"/>
          <w:b w:val="0"/>
          <w:bCs/>
          <w:color w:val="auto"/>
          <w:kern w:val="2"/>
          <w:sz w:val="32"/>
          <w:szCs w:val="32"/>
          <w:lang w:val="en-US" w:eastAsia="zh-CN" w:bidi="ar-SA"/>
        </w:rPr>
        <w:t>维修工作年限</w:t>
      </w:r>
      <w:r>
        <w:rPr>
          <w:rFonts w:hint="eastAsia" w:ascii="仿宋_GB2312" w:hAnsi="Calibri" w:eastAsia="仿宋_GB2312" w:cs="Times New Roman"/>
          <w:b w:val="0"/>
          <w:bCs/>
          <w:color w:val="auto"/>
          <w:kern w:val="2"/>
          <w:sz w:val="32"/>
          <w:szCs w:val="32"/>
          <w:lang w:val="en-US" w:eastAsia="zh-CN" w:bidi="ar-SA"/>
        </w:rPr>
        <w:t>佐证材料</w:t>
      </w:r>
    </w:p>
    <w:p w14:paraId="46AA6699">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1</w:t>
      </w:r>
      <w:r>
        <w:rPr>
          <w:rFonts w:hint="eastAsia" w:ascii="仿宋_GB2312" w:eastAsia="仿宋_GB2312" w:cs="Times New Roman"/>
          <w:b w:val="0"/>
          <w:bCs/>
          <w:color w:val="auto"/>
          <w:kern w:val="2"/>
          <w:sz w:val="32"/>
          <w:szCs w:val="32"/>
          <w:lang w:val="en-US" w:eastAsia="zh-CN" w:bidi="ar-SA"/>
        </w:rPr>
        <w:t>5</w:t>
      </w:r>
      <w:r>
        <w:rPr>
          <w:rFonts w:hint="eastAsia" w:ascii="仿宋_GB2312" w:hAnsi="Calibri" w:eastAsia="仿宋_GB2312" w:cs="Times New Roman"/>
          <w:b w:val="0"/>
          <w:bCs/>
          <w:color w:val="auto"/>
          <w:kern w:val="2"/>
          <w:sz w:val="32"/>
          <w:szCs w:val="32"/>
          <w:lang w:val="en-US" w:eastAsia="zh-CN" w:bidi="ar-SA"/>
        </w:rPr>
        <w:t>.公司简介、</w:t>
      </w:r>
      <w:r>
        <w:rPr>
          <w:rFonts w:hint="eastAsia" w:ascii="仿宋_GB2312" w:eastAsia="仿宋_GB2312" w:cs="Times New Roman"/>
          <w:b w:val="0"/>
          <w:bCs/>
          <w:color w:val="auto"/>
          <w:kern w:val="2"/>
          <w:sz w:val="32"/>
          <w:szCs w:val="32"/>
          <w:lang w:val="en-US" w:eastAsia="zh-CN" w:bidi="ar-SA"/>
        </w:rPr>
        <w:t>同类项目</w:t>
      </w:r>
      <w:r>
        <w:rPr>
          <w:rFonts w:hint="eastAsia" w:ascii="仿宋_GB2312" w:hAnsi="Calibri" w:eastAsia="仿宋_GB2312" w:cs="Times New Roman"/>
          <w:b w:val="0"/>
          <w:bCs/>
          <w:color w:val="auto"/>
          <w:kern w:val="2"/>
          <w:sz w:val="32"/>
          <w:szCs w:val="32"/>
          <w:lang w:val="en-US" w:eastAsia="zh-CN" w:bidi="ar-SA"/>
        </w:rPr>
        <w:t>有效业绩及履约评价材料</w:t>
      </w:r>
    </w:p>
    <w:p w14:paraId="26BBF3ED">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1</w:t>
      </w:r>
      <w:r>
        <w:rPr>
          <w:rFonts w:hint="eastAsia" w:ascii="仿宋_GB2312" w:eastAsia="仿宋_GB2312" w:cs="Times New Roman"/>
          <w:b w:val="0"/>
          <w:bCs/>
          <w:color w:val="auto"/>
          <w:kern w:val="2"/>
          <w:sz w:val="32"/>
          <w:szCs w:val="32"/>
          <w:lang w:val="en-US" w:eastAsia="zh-CN" w:bidi="ar-SA"/>
        </w:rPr>
        <w:t>6</w:t>
      </w:r>
      <w:r>
        <w:rPr>
          <w:rFonts w:hint="eastAsia" w:ascii="仿宋_GB2312" w:hAnsi="Calibri" w:eastAsia="仿宋_GB2312" w:cs="Times New Roman"/>
          <w:b w:val="0"/>
          <w:bCs/>
          <w:color w:val="auto"/>
          <w:kern w:val="2"/>
          <w:sz w:val="32"/>
          <w:szCs w:val="32"/>
          <w:lang w:val="en-US" w:eastAsia="zh-CN" w:bidi="ar-SA"/>
        </w:rPr>
        <w:t>.国家机关、群团组织、事业单位授予的表彰、荣誉认可佐证材料</w:t>
      </w:r>
    </w:p>
    <w:p w14:paraId="53365D53">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1</w:t>
      </w:r>
      <w:r>
        <w:rPr>
          <w:rFonts w:hint="eastAsia" w:ascii="仿宋_GB2312" w:eastAsia="仿宋_GB2312" w:cs="Times New Roman"/>
          <w:b w:val="0"/>
          <w:bCs/>
          <w:color w:val="auto"/>
          <w:kern w:val="2"/>
          <w:sz w:val="32"/>
          <w:szCs w:val="32"/>
          <w:lang w:val="en-US" w:eastAsia="zh-CN" w:bidi="ar-SA"/>
        </w:rPr>
        <w:t>7</w:t>
      </w:r>
      <w:r>
        <w:rPr>
          <w:rFonts w:hint="eastAsia" w:ascii="仿宋_GB2312" w:hAnsi="Calibri" w:eastAsia="仿宋_GB2312" w:cs="Times New Roman"/>
          <w:b w:val="0"/>
          <w:bCs/>
          <w:color w:val="auto"/>
          <w:kern w:val="2"/>
          <w:sz w:val="32"/>
          <w:szCs w:val="32"/>
          <w:lang w:val="en-US" w:eastAsia="zh-CN" w:bidi="ar-SA"/>
        </w:rPr>
        <w:t>.供应商信用信息查询</w:t>
      </w:r>
      <w:r>
        <w:rPr>
          <w:rFonts w:hint="eastAsia" w:ascii="仿宋_GB2312" w:eastAsia="仿宋_GB2312" w:cs="Times New Roman"/>
          <w:b w:val="0"/>
          <w:bCs/>
          <w:color w:val="auto"/>
          <w:kern w:val="2"/>
          <w:sz w:val="32"/>
          <w:szCs w:val="32"/>
          <w:lang w:val="en-US" w:eastAsia="zh-CN" w:bidi="ar-SA"/>
        </w:rPr>
        <w:t>结果</w:t>
      </w:r>
    </w:p>
    <w:p w14:paraId="62EE4A0A">
      <w:pPr>
        <w:pStyle w:val="4"/>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以上材料需加盖公章，纸质件一份，电子版一份。纸质材料请邮寄到：深圳市福田区上梅林梅坳七路福康之家604，联系人：郑女士，0755-83177131；电子版材料以“单位名称+联系人+联系方式+投标项目”命名发送至邮箱：cl@szft.gov.cn。</w:t>
      </w:r>
    </w:p>
    <w:p w14:paraId="1337502D">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jc w:val="both"/>
        <w:textAlignment w:val="auto"/>
        <w:outlineLvl w:val="9"/>
        <w:rPr>
          <w:rFonts w:hint="eastAsia" w:ascii="仿宋_GB2312" w:hAnsi="仿宋_GB2312" w:eastAsia="仿宋_GB2312" w:cs="仿宋_GB2312"/>
          <w:color w:val="auto"/>
          <w:sz w:val="32"/>
          <w:szCs w:val="32"/>
          <w:shd w:val="clear" w:color="auto" w:fill="FFFFFF"/>
          <w:lang w:eastAsia="zh-CN"/>
        </w:rPr>
      </w:pPr>
    </w:p>
    <w:p w14:paraId="33DA46BA">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jc w:val="both"/>
        <w:textAlignment w:val="auto"/>
        <w:outlineLvl w:val="9"/>
        <w:rPr>
          <w:rFonts w:hint="eastAsia" w:ascii="仿宋_GB2312" w:hAnsi="仿宋_GB2312" w:eastAsia="仿宋_GB2312" w:cs="仿宋_GB2312"/>
          <w:color w:val="auto"/>
          <w:sz w:val="32"/>
          <w:szCs w:val="32"/>
          <w:shd w:val="clear" w:color="auto" w:fill="FFFFFF"/>
          <w:lang w:eastAsia="zh-CN"/>
        </w:rPr>
      </w:pPr>
    </w:p>
    <w:p w14:paraId="7840B8F6">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firstLine="3840" w:firstLineChars="1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福田区残疾人综合服务中心</w:t>
      </w:r>
    </w:p>
    <w:p w14:paraId="79D6BBDD">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2026年</w:t>
      </w:r>
      <w:r>
        <w:rPr>
          <w:rFonts w:hint="eastAsia" w:ascii="仿宋_GB2312" w:hAnsi="仿宋_GB2312" w:eastAsia="仿宋_GB2312" w:cs="仿宋_GB2312"/>
          <w:color w:val="auto"/>
          <w:sz w:val="32"/>
          <w:szCs w:val="32"/>
          <w:highlight w:val="none"/>
          <w:shd w:val="clear" w:color="auto" w:fill="FFFFFF"/>
          <w:lang w:val="en-US" w:eastAsia="zh-CN"/>
        </w:rPr>
        <w:t>6月30日</w:t>
      </w:r>
    </w:p>
    <w:p w14:paraId="23CE1769">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61BD1317">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1931317D">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09BD8F60">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7CC0A848">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6F9A7452">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5284E3E2">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6BD4CD81">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13026FA1">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4E8C8938">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40BFC0FA">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61BBC021">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27904EB7">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C342A19">
      <w:pPr>
        <w:pStyle w:val="4"/>
        <w:rPr>
          <w:rFonts w:hint="default"/>
          <w:highlight w:val="none"/>
          <w:lang w:val="en-US" w:eastAsia="zh-CN"/>
        </w:rPr>
      </w:pPr>
    </w:p>
    <w:p w14:paraId="2EE7887B">
      <w:pPr>
        <w:autoSpaceDE w:val="0"/>
        <w:autoSpaceDN w:val="0"/>
        <w:adjustRightInd w:val="0"/>
        <w:snapToGrid w:val="0"/>
        <w:spacing w:line="300" w:lineRule="auto"/>
        <w:jc w:val="center"/>
        <w:rPr>
          <w:rFonts w:ascii="仿宋_GB2312" w:hAnsi="宋体"/>
          <w:szCs w:val="32"/>
          <w:highlight w:val="none"/>
        </w:rPr>
      </w:pPr>
      <w:r>
        <w:rPr>
          <w:rFonts w:hint="eastAsia" w:ascii="宋体" w:hAnsi="宋体" w:cs="宋体"/>
          <w:b/>
          <w:bCs/>
          <w:sz w:val="44"/>
          <w:szCs w:val="44"/>
          <w:highlight w:val="none"/>
        </w:rPr>
        <w:t>招标文件响应声明书</w:t>
      </w:r>
    </w:p>
    <w:p w14:paraId="38239A1F">
      <w:pPr>
        <w:autoSpaceDE w:val="0"/>
        <w:autoSpaceDN w:val="0"/>
        <w:adjustRightInd w:val="0"/>
        <w:snapToGrid w:val="0"/>
        <w:spacing w:line="300" w:lineRule="auto"/>
        <w:rPr>
          <w:rFonts w:hint="eastAsia" w:ascii="仿宋_GB2312" w:hAnsi="宋体"/>
          <w:sz w:val="28"/>
          <w:szCs w:val="28"/>
          <w:highlight w:val="none"/>
        </w:rPr>
      </w:pPr>
    </w:p>
    <w:p w14:paraId="7B92968F">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深圳市福田区残疾人综合服务中心</w:t>
      </w:r>
      <w:r>
        <w:rPr>
          <w:rFonts w:hint="eastAsia" w:ascii="仿宋_GB2312" w:hAnsi="宋体"/>
          <w:sz w:val="28"/>
          <w:szCs w:val="28"/>
          <w:highlight w:val="none"/>
        </w:rPr>
        <w:t>：   </w:t>
      </w:r>
    </w:p>
    <w:p w14:paraId="727F540A">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 xml:space="preserve">  </w:t>
      </w:r>
      <w:r>
        <w:rPr>
          <w:rFonts w:hint="eastAsia" w:ascii="仿宋_GB2312" w:hAnsi="宋体"/>
          <w:sz w:val="28"/>
          <w:szCs w:val="28"/>
          <w:highlight w:val="none"/>
          <w:u w:val="single"/>
        </w:rPr>
        <w:t xml:space="preserve">（投标单位全称） </w:t>
      </w:r>
      <w:r>
        <w:rPr>
          <w:rFonts w:hint="eastAsia" w:ascii="仿宋_GB2312" w:hAnsi="宋体"/>
          <w:sz w:val="28"/>
          <w:szCs w:val="28"/>
          <w:highlight w:val="none"/>
        </w:rPr>
        <w:t>授权</w:t>
      </w:r>
      <w:r>
        <w:rPr>
          <w:rFonts w:hint="eastAsia" w:ascii="仿宋_GB2312" w:hAnsi="宋体"/>
          <w:sz w:val="28"/>
          <w:szCs w:val="28"/>
          <w:highlight w:val="none"/>
          <w:u w:val="single"/>
        </w:rPr>
        <w:t xml:space="preserve"> （全名、职务）</w:t>
      </w:r>
      <w:r>
        <w:rPr>
          <w:rFonts w:hint="eastAsia" w:ascii="仿宋_GB2312" w:hAnsi="宋体"/>
          <w:sz w:val="28"/>
          <w:szCs w:val="28"/>
          <w:highlight w:val="none"/>
        </w:rPr>
        <w:t>为全权代表，参加贵方组织的</w:t>
      </w:r>
      <w:r>
        <w:rPr>
          <w:rFonts w:hint="eastAsia" w:ascii="仿宋_GB2312" w:hAnsi="宋体"/>
          <w:sz w:val="28"/>
          <w:szCs w:val="28"/>
          <w:highlight w:val="none"/>
          <w:u w:val="single"/>
        </w:rPr>
        <w:t>（      项目）</w:t>
      </w:r>
      <w:r>
        <w:rPr>
          <w:rFonts w:hint="eastAsia" w:ascii="仿宋_GB2312" w:hAnsi="宋体"/>
          <w:sz w:val="28"/>
          <w:szCs w:val="28"/>
          <w:highlight w:val="none"/>
        </w:rPr>
        <w:t>招标活动并投标，为此：</w:t>
      </w:r>
    </w:p>
    <w:p w14:paraId="55D674D0">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我方已详细阅读了全部招标文件，包括修改文件（如有）及全部参考资料和附件。我们完全理解并同意放弃对这方面有不明及误解的权利。愿意接受招标文件中的各项要求。</w:t>
      </w:r>
    </w:p>
    <w:p w14:paraId="12A0B862">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我方提供招标文件要求的全部资料，并保证真实性、合法性。</w:t>
      </w:r>
    </w:p>
    <w:p w14:paraId="4CCF6980">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若中标，我方将按照招标文件规定，履行合同责任和义务。</w:t>
      </w:r>
    </w:p>
    <w:p w14:paraId="5F6F34A4">
      <w:pPr>
        <w:autoSpaceDE w:val="0"/>
        <w:autoSpaceDN w:val="0"/>
        <w:adjustRightInd w:val="0"/>
        <w:snapToGrid w:val="0"/>
        <w:spacing w:line="300" w:lineRule="auto"/>
        <w:rPr>
          <w:rFonts w:ascii="仿宋_GB2312" w:hAnsi="宋体"/>
          <w:sz w:val="28"/>
          <w:szCs w:val="28"/>
          <w:highlight w:val="none"/>
        </w:rPr>
      </w:pPr>
    </w:p>
    <w:p w14:paraId="1EF7F7A2">
      <w:pPr>
        <w:rPr>
          <w:highlight w:val="none"/>
        </w:rPr>
      </w:pPr>
    </w:p>
    <w:p w14:paraId="4267C467">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投标单位名称（公章）：</w:t>
      </w:r>
      <w:r>
        <w:rPr>
          <w:rFonts w:hint="eastAsia" w:ascii="仿宋_GB2312" w:hAnsi="宋体"/>
          <w:sz w:val="28"/>
          <w:szCs w:val="28"/>
          <w:highlight w:val="none"/>
          <w:u w:val="single"/>
        </w:rPr>
        <w:t xml:space="preserve">           </w:t>
      </w:r>
    </w:p>
    <w:p w14:paraId="0173D60B">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授权代表签字：</w:t>
      </w:r>
      <w:r>
        <w:rPr>
          <w:rFonts w:hint="eastAsia" w:ascii="仿宋_GB2312" w:hAnsi="宋体"/>
          <w:sz w:val="28"/>
          <w:szCs w:val="28"/>
          <w:highlight w:val="none"/>
          <w:u w:val="single"/>
        </w:rPr>
        <w:t xml:space="preserve">                     </w:t>
      </w:r>
    </w:p>
    <w:p w14:paraId="2A12DBAA">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投标响应日期：</w:t>
      </w:r>
      <w:r>
        <w:rPr>
          <w:rFonts w:hint="eastAsia" w:ascii="仿宋_GB2312" w:hAnsi="宋体"/>
          <w:sz w:val="28"/>
          <w:szCs w:val="28"/>
          <w:highlight w:val="none"/>
          <w:u w:val="single"/>
        </w:rPr>
        <w:t xml:space="preserve">     </w:t>
      </w:r>
      <w:r>
        <w:rPr>
          <w:rFonts w:hint="eastAsia" w:ascii="仿宋_GB2312" w:hAnsi="宋体"/>
          <w:sz w:val="28"/>
          <w:szCs w:val="28"/>
          <w:highlight w:val="none"/>
        </w:rPr>
        <w:t>年</w:t>
      </w:r>
      <w:r>
        <w:rPr>
          <w:rFonts w:hint="eastAsia" w:ascii="仿宋_GB2312" w:hAnsi="宋体"/>
          <w:sz w:val="28"/>
          <w:szCs w:val="28"/>
          <w:highlight w:val="none"/>
          <w:u w:val="single"/>
        </w:rPr>
        <w:t xml:space="preserve">   </w:t>
      </w:r>
      <w:r>
        <w:rPr>
          <w:rFonts w:hint="eastAsia" w:ascii="仿宋_GB2312" w:hAnsi="宋体"/>
          <w:sz w:val="28"/>
          <w:szCs w:val="28"/>
          <w:highlight w:val="none"/>
        </w:rPr>
        <w:t>月</w:t>
      </w:r>
      <w:r>
        <w:rPr>
          <w:rFonts w:hint="eastAsia" w:ascii="仿宋_GB2312" w:hAnsi="宋体"/>
          <w:sz w:val="28"/>
          <w:szCs w:val="28"/>
          <w:highlight w:val="none"/>
          <w:u w:val="single"/>
        </w:rPr>
        <w:t xml:space="preserve">   </w:t>
      </w:r>
      <w:r>
        <w:rPr>
          <w:rFonts w:hint="eastAsia" w:ascii="仿宋_GB2312" w:hAnsi="宋体"/>
          <w:sz w:val="28"/>
          <w:szCs w:val="28"/>
          <w:highlight w:val="none"/>
        </w:rPr>
        <w:t>日</w:t>
      </w:r>
    </w:p>
    <w:p w14:paraId="4C9FC00F">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xml:space="preserve">           </w:t>
      </w:r>
    </w:p>
    <w:p w14:paraId="31623660">
      <w:pPr>
        <w:autoSpaceDE w:val="0"/>
        <w:autoSpaceDN w:val="0"/>
        <w:adjustRightInd w:val="0"/>
        <w:snapToGrid w:val="0"/>
        <w:spacing w:line="300" w:lineRule="auto"/>
        <w:rPr>
          <w:rFonts w:ascii="仿宋_GB2312" w:hAnsi="宋体"/>
          <w:szCs w:val="32"/>
          <w:highlight w:val="none"/>
        </w:rPr>
      </w:pPr>
    </w:p>
    <w:p w14:paraId="28C3636A">
      <w:pPr>
        <w:pStyle w:val="5"/>
        <w:rPr>
          <w:rFonts w:hint="default" w:ascii="仿宋_GB2312" w:eastAsia="仿宋_GB2312" w:cs="Times New Roman"/>
          <w:b w:val="0"/>
          <w:bCs/>
          <w:color w:val="auto"/>
          <w:sz w:val="28"/>
          <w:szCs w:val="28"/>
          <w:highlight w:val="none"/>
          <w:lang w:val="en-US" w:eastAsia="zh-CN"/>
        </w:rPr>
      </w:pPr>
    </w:p>
    <w:p w14:paraId="34244F1B">
      <w:pPr>
        <w:pStyle w:val="5"/>
        <w:rPr>
          <w:rFonts w:hint="default" w:ascii="仿宋_GB2312" w:eastAsia="仿宋_GB2312" w:cs="Times New Roman"/>
          <w:b w:val="0"/>
          <w:bCs/>
          <w:color w:val="auto"/>
          <w:sz w:val="28"/>
          <w:szCs w:val="28"/>
          <w:highlight w:val="none"/>
          <w:lang w:val="en-US" w:eastAsia="zh-CN"/>
        </w:rPr>
      </w:pPr>
    </w:p>
    <w:p w14:paraId="02FB3557">
      <w:pPr>
        <w:pStyle w:val="5"/>
        <w:rPr>
          <w:rFonts w:hint="default" w:ascii="仿宋_GB2312" w:eastAsia="仿宋_GB2312" w:cs="Times New Roman"/>
          <w:b w:val="0"/>
          <w:bCs/>
          <w:color w:val="auto"/>
          <w:sz w:val="28"/>
          <w:szCs w:val="28"/>
          <w:highlight w:val="none"/>
          <w:lang w:val="en-US" w:eastAsia="zh-CN"/>
        </w:rPr>
      </w:pPr>
    </w:p>
    <w:p w14:paraId="7BE3203B">
      <w:pPr>
        <w:pStyle w:val="5"/>
        <w:rPr>
          <w:rFonts w:hint="default" w:ascii="仿宋_GB2312" w:eastAsia="仿宋_GB2312" w:cs="Times New Roman"/>
          <w:b w:val="0"/>
          <w:bCs/>
          <w:color w:val="auto"/>
          <w:sz w:val="28"/>
          <w:szCs w:val="28"/>
          <w:highlight w:val="none"/>
          <w:lang w:val="en-US" w:eastAsia="zh-CN"/>
        </w:rPr>
      </w:pPr>
    </w:p>
    <w:p w14:paraId="429C7ED7">
      <w:pPr>
        <w:pStyle w:val="5"/>
        <w:rPr>
          <w:rFonts w:hint="default" w:ascii="仿宋_GB2312" w:eastAsia="仿宋_GB2312" w:cs="Times New Roman"/>
          <w:b w:val="0"/>
          <w:bCs/>
          <w:color w:val="auto"/>
          <w:sz w:val="28"/>
          <w:szCs w:val="28"/>
          <w:highlight w:val="none"/>
          <w:lang w:val="en-US" w:eastAsia="zh-CN"/>
        </w:rPr>
      </w:pPr>
    </w:p>
    <w:p w14:paraId="3135FB8B">
      <w:pPr>
        <w:rPr>
          <w:rFonts w:hint="default" w:ascii="仿宋_GB2312" w:eastAsia="仿宋_GB2312" w:cs="Times New Roman"/>
          <w:b w:val="0"/>
          <w:bCs/>
          <w:color w:val="auto"/>
          <w:sz w:val="28"/>
          <w:szCs w:val="28"/>
          <w:highlight w:val="none"/>
          <w:lang w:val="en-US" w:eastAsia="zh-CN"/>
        </w:rPr>
      </w:pPr>
    </w:p>
    <w:p w14:paraId="5559D321">
      <w:pPr>
        <w:rPr>
          <w:rFonts w:hint="default" w:ascii="仿宋_GB2312" w:eastAsia="仿宋_GB2312" w:cs="Times New Roman"/>
          <w:b w:val="0"/>
          <w:bCs/>
          <w:color w:val="auto"/>
          <w:sz w:val="28"/>
          <w:szCs w:val="28"/>
          <w:highlight w:val="none"/>
          <w:lang w:val="en-US" w:eastAsia="zh-CN"/>
        </w:rPr>
      </w:pPr>
    </w:p>
    <w:p w14:paraId="6FC74F86">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14:paraId="45CCA34D">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14:paraId="6508DBBF">
      <w:pPr>
        <w:autoSpaceDE w:val="0"/>
        <w:autoSpaceDN w:val="0"/>
        <w:adjustRightInd w:val="0"/>
        <w:snapToGrid w:val="0"/>
        <w:spacing w:line="300" w:lineRule="auto"/>
        <w:jc w:val="center"/>
        <w:rPr>
          <w:rFonts w:ascii="宋体" w:hAnsi="宋体" w:cs="宋体"/>
          <w:b/>
          <w:bCs/>
          <w:sz w:val="44"/>
          <w:szCs w:val="44"/>
          <w:highlight w:val="none"/>
        </w:rPr>
      </w:pPr>
      <w:r>
        <w:rPr>
          <w:rFonts w:hint="eastAsia" w:ascii="宋体" w:hAnsi="宋体" w:cs="宋体"/>
          <w:b/>
          <w:bCs/>
          <w:sz w:val="44"/>
          <w:szCs w:val="44"/>
          <w:highlight w:val="none"/>
        </w:rPr>
        <w:t>报价一览表</w:t>
      </w:r>
    </w:p>
    <w:p w14:paraId="4698B4F9">
      <w:pPr>
        <w:autoSpaceDE w:val="0"/>
        <w:autoSpaceDN w:val="0"/>
        <w:adjustRightInd w:val="0"/>
        <w:snapToGrid w:val="0"/>
        <w:spacing w:line="300" w:lineRule="auto"/>
        <w:rPr>
          <w:rFonts w:ascii="仿宋_GB2312" w:hAnsi="宋体"/>
          <w:szCs w:val="32"/>
          <w:highlight w:val="none"/>
        </w:rPr>
      </w:pPr>
    </w:p>
    <w:p w14:paraId="519FCBA3">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深圳市福田区残疾人综合服务中心</w:t>
      </w:r>
      <w:r>
        <w:rPr>
          <w:rFonts w:hint="eastAsia" w:ascii="仿宋_GB2312" w:hAnsi="宋体"/>
          <w:sz w:val="28"/>
          <w:szCs w:val="28"/>
          <w:highlight w:val="none"/>
        </w:rPr>
        <w:t xml:space="preserve">：  </w:t>
      </w:r>
    </w:p>
    <w:p w14:paraId="609CEBF0">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ind w:left="0" w:leftChars="0" w:right="0" w:rightChars="0"/>
        <w:jc w:val="left"/>
        <w:textAlignment w:val="auto"/>
        <w:rPr>
          <w:rFonts w:ascii="仿宋_GB2312" w:hAnsi="宋体"/>
          <w:sz w:val="28"/>
          <w:szCs w:val="28"/>
          <w:highlight w:val="none"/>
        </w:rPr>
      </w:pPr>
      <w:r>
        <w:rPr>
          <w:rFonts w:hint="eastAsia" w:ascii="仿宋_GB2312" w:hAnsi="宋体"/>
          <w:sz w:val="28"/>
          <w:szCs w:val="28"/>
          <w:highlight w:val="none"/>
          <w:lang w:val="en-US" w:eastAsia="zh-CN"/>
        </w:rPr>
        <w:t xml:space="preserve">    </w:t>
      </w:r>
      <w:r>
        <w:rPr>
          <w:rFonts w:hint="eastAsia" w:ascii="仿宋_GB2312" w:hAnsi="宋体"/>
          <w:sz w:val="28"/>
          <w:szCs w:val="28"/>
          <w:highlight w:val="none"/>
        </w:rPr>
        <w:t>在研究了招标文件中所有内容后，我公司对</w:t>
      </w:r>
      <w:r>
        <w:rPr>
          <w:rFonts w:hint="eastAsia" w:ascii="仿宋_GB2312" w:hAnsi="宋体"/>
          <w:sz w:val="28"/>
          <w:szCs w:val="28"/>
          <w:highlight w:val="none"/>
          <w:u w:val="single"/>
          <w:lang w:val="en-US" w:eastAsia="zh-CN"/>
        </w:rPr>
        <w:t xml:space="preserve">              </w:t>
      </w:r>
      <w:r>
        <w:rPr>
          <w:rFonts w:hint="eastAsia" w:ascii="仿宋_GB2312" w:hAnsi="宋体"/>
          <w:sz w:val="28"/>
          <w:szCs w:val="28"/>
          <w:highlight w:val="none"/>
          <w:u w:val="none"/>
        </w:rPr>
        <w:t>招标</w:t>
      </w:r>
      <w:r>
        <w:rPr>
          <w:rFonts w:hint="eastAsia" w:ascii="仿宋_GB2312" w:hAnsi="宋体"/>
          <w:sz w:val="28"/>
          <w:szCs w:val="28"/>
          <w:highlight w:val="none"/>
        </w:rPr>
        <w:t xml:space="preserve">项目响应报价如下：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60"/>
        <w:gridCol w:w="930"/>
        <w:gridCol w:w="2580"/>
        <w:gridCol w:w="930"/>
        <w:gridCol w:w="955"/>
      </w:tblGrid>
      <w:tr w14:paraId="2F3C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7913E64E">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序号</w:t>
            </w:r>
          </w:p>
        </w:tc>
        <w:tc>
          <w:tcPr>
            <w:tcW w:w="2260" w:type="dxa"/>
            <w:noWrap w:val="0"/>
            <w:vAlign w:val="center"/>
          </w:tcPr>
          <w:p w14:paraId="549316E6">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项  目</w:t>
            </w:r>
          </w:p>
        </w:tc>
        <w:tc>
          <w:tcPr>
            <w:tcW w:w="930" w:type="dxa"/>
            <w:noWrap w:val="0"/>
            <w:vAlign w:val="center"/>
          </w:tcPr>
          <w:p w14:paraId="0F50EE7C">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数量</w:t>
            </w:r>
          </w:p>
        </w:tc>
        <w:tc>
          <w:tcPr>
            <w:tcW w:w="2580" w:type="dxa"/>
            <w:noWrap w:val="0"/>
            <w:vAlign w:val="center"/>
          </w:tcPr>
          <w:p w14:paraId="5D99AE27">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响应单价</w:t>
            </w:r>
          </w:p>
          <w:p w14:paraId="20E8A4DC">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（元/卷、件、年）</w:t>
            </w:r>
          </w:p>
        </w:tc>
        <w:tc>
          <w:tcPr>
            <w:tcW w:w="930" w:type="dxa"/>
            <w:noWrap w:val="0"/>
            <w:vAlign w:val="center"/>
          </w:tcPr>
          <w:p w14:paraId="2B7908CE">
            <w:pPr>
              <w:autoSpaceDE w:val="0"/>
              <w:autoSpaceDN w:val="0"/>
              <w:adjustRightInd w:val="0"/>
              <w:snapToGrid w:val="0"/>
              <w:spacing w:line="300" w:lineRule="auto"/>
              <w:jc w:val="center"/>
              <w:rPr>
                <w:rFonts w:hint="eastAsia" w:ascii="仿宋_GB2312" w:hAnsi="宋体"/>
                <w:b/>
                <w:bCs/>
                <w:sz w:val="28"/>
                <w:szCs w:val="28"/>
                <w:highlight w:val="none"/>
              </w:rPr>
            </w:pPr>
            <w:r>
              <w:rPr>
                <w:rFonts w:hint="eastAsia" w:ascii="仿宋_GB2312" w:hAnsi="宋体"/>
                <w:b/>
                <w:bCs/>
                <w:sz w:val="28"/>
                <w:szCs w:val="28"/>
                <w:highlight w:val="none"/>
              </w:rPr>
              <w:t>小计</w:t>
            </w:r>
          </w:p>
          <w:p w14:paraId="35ED4A89">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w:t>
            </w:r>
          </w:p>
        </w:tc>
        <w:tc>
          <w:tcPr>
            <w:tcW w:w="955" w:type="dxa"/>
            <w:noWrap w:val="0"/>
            <w:vAlign w:val="center"/>
          </w:tcPr>
          <w:p w14:paraId="49A8849C">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备注</w:t>
            </w:r>
          </w:p>
        </w:tc>
      </w:tr>
      <w:tr w14:paraId="04BC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14:paraId="6D174BC6">
            <w:pPr>
              <w:autoSpaceDE w:val="0"/>
              <w:autoSpaceDN w:val="0"/>
              <w:adjustRightInd w:val="0"/>
              <w:snapToGrid w:val="0"/>
              <w:spacing w:line="300" w:lineRule="auto"/>
              <w:jc w:val="center"/>
              <w:rPr>
                <w:rFonts w:ascii="仿宋_GB2312" w:hAnsi="宋体"/>
                <w:sz w:val="28"/>
                <w:szCs w:val="28"/>
                <w:highlight w:val="none"/>
              </w:rPr>
            </w:pPr>
            <w:r>
              <w:rPr>
                <w:rFonts w:hint="eastAsia" w:ascii="仿宋_GB2312" w:hAnsi="宋体"/>
                <w:sz w:val="28"/>
                <w:szCs w:val="28"/>
                <w:highlight w:val="none"/>
              </w:rPr>
              <w:t>1</w:t>
            </w:r>
          </w:p>
        </w:tc>
        <w:tc>
          <w:tcPr>
            <w:tcW w:w="2260" w:type="dxa"/>
            <w:noWrap w:val="0"/>
            <w:vAlign w:val="top"/>
          </w:tcPr>
          <w:p w14:paraId="0FB6A008">
            <w:pPr>
              <w:autoSpaceDE w:val="0"/>
              <w:autoSpaceDN w:val="0"/>
              <w:adjustRightInd w:val="0"/>
              <w:snapToGrid w:val="0"/>
              <w:spacing w:line="300" w:lineRule="auto"/>
              <w:rPr>
                <w:rFonts w:hint="default" w:ascii="仿宋_GB2312" w:hAnsi="宋体" w:eastAsia="宋体"/>
                <w:sz w:val="28"/>
                <w:szCs w:val="28"/>
                <w:highlight w:val="none"/>
                <w:lang w:val="en-US" w:eastAsia="zh-CN"/>
              </w:rPr>
            </w:pPr>
          </w:p>
        </w:tc>
        <w:tc>
          <w:tcPr>
            <w:tcW w:w="930" w:type="dxa"/>
            <w:noWrap w:val="0"/>
            <w:vAlign w:val="top"/>
          </w:tcPr>
          <w:p w14:paraId="713280AD">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14:paraId="25058BB4">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45B6D2A1">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14:paraId="1FDD6133">
            <w:pPr>
              <w:autoSpaceDE w:val="0"/>
              <w:autoSpaceDN w:val="0"/>
              <w:adjustRightInd w:val="0"/>
              <w:snapToGrid w:val="0"/>
              <w:spacing w:line="300" w:lineRule="auto"/>
              <w:rPr>
                <w:rFonts w:ascii="仿宋_GB2312" w:hAnsi="宋体"/>
                <w:sz w:val="28"/>
                <w:szCs w:val="28"/>
                <w:highlight w:val="none"/>
              </w:rPr>
            </w:pPr>
          </w:p>
        </w:tc>
      </w:tr>
      <w:tr w14:paraId="0C14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14:paraId="2AB8E50C">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14:paraId="2709AE46">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08C5812B">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14:paraId="38BAF2BE">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602DABEC">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14:paraId="089E278A">
            <w:pPr>
              <w:autoSpaceDE w:val="0"/>
              <w:autoSpaceDN w:val="0"/>
              <w:adjustRightInd w:val="0"/>
              <w:snapToGrid w:val="0"/>
              <w:spacing w:line="300" w:lineRule="auto"/>
              <w:rPr>
                <w:rFonts w:ascii="仿宋_GB2312" w:hAnsi="宋体"/>
                <w:sz w:val="28"/>
                <w:szCs w:val="28"/>
                <w:highlight w:val="none"/>
              </w:rPr>
            </w:pPr>
          </w:p>
        </w:tc>
      </w:tr>
      <w:tr w14:paraId="7AD3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14:paraId="2623659A">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14:paraId="47C4AC23">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594A0357">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14:paraId="27E27F0A">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0FD89748">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14:paraId="5E4813CA">
            <w:pPr>
              <w:autoSpaceDE w:val="0"/>
              <w:autoSpaceDN w:val="0"/>
              <w:adjustRightInd w:val="0"/>
              <w:snapToGrid w:val="0"/>
              <w:spacing w:line="300" w:lineRule="auto"/>
              <w:rPr>
                <w:rFonts w:ascii="仿宋_GB2312" w:hAnsi="宋体"/>
                <w:sz w:val="28"/>
                <w:szCs w:val="28"/>
                <w:highlight w:val="none"/>
              </w:rPr>
            </w:pPr>
          </w:p>
        </w:tc>
      </w:tr>
      <w:tr w14:paraId="1B87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14:paraId="5E0C5085">
            <w:pPr>
              <w:autoSpaceDE w:val="0"/>
              <w:autoSpaceDN w:val="0"/>
              <w:adjustRightInd w:val="0"/>
              <w:snapToGrid w:val="0"/>
              <w:spacing w:line="300" w:lineRule="auto"/>
              <w:rPr>
                <w:rFonts w:ascii="仿宋_GB2312" w:hAnsi="宋体"/>
                <w:sz w:val="28"/>
                <w:szCs w:val="28"/>
                <w:highlight w:val="none"/>
              </w:rPr>
            </w:pPr>
            <w:r>
              <w:rPr>
                <w:rFonts w:ascii="仿宋_GB2312" w:hAnsi="宋体"/>
                <w:sz w:val="28"/>
                <w:szCs w:val="28"/>
                <w:highlight w:val="none"/>
              </w:rPr>
              <w:t>……</w:t>
            </w:r>
          </w:p>
        </w:tc>
        <w:tc>
          <w:tcPr>
            <w:tcW w:w="2260" w:type="dxa"/>
            <w:noWrap w:val="0"/>
            <w:vAlign w:val="top"/>
          </w:tcPr>
          <w:p w14:paraId="1DFD58F4">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191279D1">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14:paraId="135BE51D">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383EE593">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14:paraId="558D05E9">
            <w:pPr>
              <w:autoSpaceDE w:val="0"/>
              <w:autoSpaceDN w:val="0"/>
              <w:adjustRightInd w:val="0"/>
              <w:snapToGrid w:val="0"/>
              <w:spacing w:line="300" w:lineRule="auto"/>
              <w:rPr>
                <w:rFonts w:ascii="仿宋_GB2312" w:hAnsi="宋体"/>
                <w:sz w:val="28"/>
                <w:szCs w:val="28"/>
                <w:highlight w:val="none"/>
              </w:rPr>
            </w:pPr>
          </w:p>
        </w:tc>
      </w:tr>
      <w:tr w14:paraId="20DF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gridSpan w:val="2"/>
            <w:noWrap w:val="0"/>
            <w:vAlign w:val="top"/>
          </w:tcPr>
          <w:p w14:paraId="6909AD0B">
            <w:pPr>
              <w:autoSpaceDE w:val="0"/>
              <w:autoSpaceDN w:val="0"/>
              <w:adjustRightInd w:val="0"/>
              <w:snapToGrid w:val="0"/>
              <w:spacing w:line="300" w:lineRule="auto"/>
              <w:jc w:val="right"/>
              <w:rPr>
                <w:rFonts w:ascii="仿宋_GB2312" w:hAnsi="宋体"/>
                <w:b/>
                <w:bCs/>
                <w:sz w:val="28"/>
                <w:szCs w:val="28"/>
                <w:highlight w:val="none"/>
              </w:rPr>
            </w:pPr>
            <w:r>
              <w:rPr>
                <w:rFonts w:hint="eastAsia" w:ascii="仿宋_GB2312" w:hAnsi="宋体"/>
                <w:b/>
                <w:bCs/>
                <w:sz w:val="28"/>
                <w:szCs w:val="28"/>
                <w:highlight w:val="none"/>
              </w:rPr>
              <w:t>合计总价：</w:t>
            </w:r>
          </w:p>
        </w:tc>
        <w:tc>
          <w:tcPr>
            <w:tcW w:w="5395" w:type="dxa"/>
            <w:gridSpan w:val="4"/>
            <w:noWrap w:val="0"/>
            <w:vAlign w:val="top"/>
          </w:tcPr>
          <w:p w14:paraId="39A76CE4">
            <w:pPr>
              <w:autoSpaceDE w:val="0"/>
              <w:autoSpaceDN w:val="0"/>
              <w:adjustRightInd w:val="0"/>
              <w:snapToGrid w:val="0"/>
              <w:spacing w:line="300" w:lineRule="auto"/>
              <w:rPr>
                <w:rFonts w:ascii="仿宋_GB2312" w:hAnsi="宋体"/>
                <w:b/>
                <w:bCs/>
                <w:sz w:val="28"/>
                <w:szCs w:val="28"/>
                <w:highlight w:val="none"/>
              </w:rPr>
            </w:pPr>
            <w:r>
              <w:rPr>
                <w:rFonts w:hint="eastAsia" w:ascii="仿宋_GB2312" w:hAnsi="宋体"/>
                <w:b/>
                <w:bCs/>
                <w:sz w:val="28"/>
                <w:szCs w:val="28"/>
                <w:highlight w:val="none"/>
              </w:rPr>
              <w:t>￥：      大写：</w:t>
            </w:r>
          </w:p>
        </w:tc>
      </w:tr>
    </w:tbl>
    <w:p w14:paraId="746FD67C">
      <w:pPr>
        <w:autoSpaceDE w:val="0"/>
        <w:autoSpaceDN w:val="0"/>
        <w:adjustRightInd w:val="0"/>
        <w:snapToGrid w:val="0"/>
        <w:spacing w:line="300" w:lineRule="auto"/>
        <w:rPr>
          <w:rFonts w:ascii="仿宋_GB2312" w:hAnsi="宋体"/>
          <w:sz w:val="28"/>
          <w:szCs w:val="28"/>
          <w:highlight w:val="none"/>
        </w:rPr>
      </w:pPr>
    </w:p>
    <w:p w14:paraId="189EAD93">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法定代表人或授权代表（签字）：</w:t>
      </w:r>
      <w:r>
        <w:rPr>
          <w:rFonts w:hint="eastAsia" w:ascii="仿宋_GB2312" w:hAnsi="宋体"/>
          <w:sz w:val="28"/>
          <w:szCs w:val="28"/>
          <w:highlight w:val="none"/>
          <w:u w:val="single"/>
        </w:rPr>
        <w:t xml:space="preserve">                     </w:t>
      </w:r>
    </w:p>
    <w:p w14:paraId="3196188B">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供应商名称（盖章）：</w:t>
      </w:r>
    </w:p>
    <w:p w14:paraId="15D64347">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日期：</w:t>
      </w:r>
      <w:r>
        <w:rPr>
          <w:rFonts w:hint="eastAsia" w:ascii="仿宋_GB2312" w:hAnsi="宋体"/>
          <w:sz w:val="28"/>
          <w:szCs w:val="28"/>
          <w:highlight w:val="none"/>
          <w:u w:val="single"/>
        </w:rPr>
        <w:t xml:space="preserve">     年     月     日</w:t>
      </w:r>
      <w:r>
        <w:rPr>
          <w:rFonts w:hint="eastAsia" w:ascii="仿宋_GB2312" w:hAnsi="宋体"/>
          <w:sz w:val="28"/>
          <w:szCs w:val="28"/>
          <w:highlight w:val="none"/>
        </w:rPr>
        <w:t xml:space="preserve">      </w:t>
      </w:r>
    </w:p>
    <w:p w14:paraId="5D205690">
      <w:pPr>
        <w:autoSpaceDE w:val="0"/>
        <w:autoSpaceDN w:val="0"/>
        <w:adjustRightInd w:val="0"/>
        <w:snapToGrid w:val="0"/>
        <w:spacing w:line="300" w:lineRule="auto"/>
        <w:rPr>
          <w:rFonts w:ascii="仿宋_GB2312" w:hAnsi="仿宋_GB2312" w:cs="仿宋_GB2312"/>
          <w:sz w:val="28"/>
          <w:szCs w:val="28"/>
          <w:highlight w:val="none"/>
        </w:rPr>
      </w:pPr>
    </w:p>
    <w:p w14:paraId="771CC0E9">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注：1、填写此表格时不得改变表格的形式。 </w:t>
      </w:r>
    </w:p>
    <w:p w14:paraId="2CB34428">
      <w:pPr>
        <w:autoSpaceDE w:val="0"/>
        <w:autoSpaceDN w:val="0"/>
        <w:adjustRightInd w:val="0"/>
        <w:snapToGrid w:val="0"/>
        <w:spacing w:line="30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2、响应单位如果需要对报价或其它内容加以说明，可在备注一栏中填写。</w:t>
      </w:r>
    </w:p>
    <w:p w14:paraId="5DF083DD">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3、此表应经法定代表人或授权代表签名，并盖上公章。 </w:t>
      </w:r>
    </w:p>
    <w:p w14:paraId="0A42A20F">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w:t>
      </w:r>
    </w:p>
    <w:p w14:paraId="1964AF85">
      <w:pPr>
        <w:spacing w:line="300" w:lineRule="auto"/>
        <w:rPr>
          <w:highlight w:val="none"/>
        </w:rPr>
      </w:pPr>
    </w:p>
    <w:p w14:paraId="50D68D1D">
      <w:pPr>
        <w:spacing w:line="300" w:lineRule="auto"/>
        <w:rPr>
          <w:rFonts w:ascii="仿宋_GB2312" w:hAnsi="仿宋_GB2312" w:cs="仿宋_GB2312"/>
          <w:b/>
          <w:bCs/>
          <w:color w:val="333333"/>
          <w:szCs w:val="32"/>
          <w:highlight w:val="none"/>
          <w:u w:val="single"/>
        </w:rPr>
      </w:pPr>
    </w:p>
    <w:p w14:paraId="4453FCD2">
      <w:pPr>
        <w:spacing w:line="300" w:lineRule="auto"/>
        <w:rPr>
          <w:rFonts w:ascii="仿宋_GB2312" w:hAnsi="仿宋_GB2312" w:cs="仿宋_GB2312"/>
          <w:b/>
          <w:bCs/>
          <w:color w:val="333333"/>
          <w:szCs w:val="32"/>
          <w:highlight w:val="none"/>
          <w:u w:val="single"/>
        </w:rPr>
      </w:pPr>
    </w:p>
    <w:p w14:paraId="1FDE4E19">
      <w:pPr>
        <w:spacing w:line="300" w:lineRule="auto"/>
        <w:rPr>
          <w:rFonts w:ascii="仿宋_GB2312" w:hAnsi="仿宋_GB2312" w:cs="仿宋_GB2312"/>
          <w:b/>
          <w:bCs/>
          <w:color w:val="333333"/>
          <w:szCs w:val="32"/>
          <w:highlight w:val="none"/>
          <w:u w:val="single"/>
        </w:rPr>
      </w:pPr>
    </w:p>
    <w:p w14:paraId="5E177E10">
      <w:pPr>
        <w:spacing w:line="300" w:lineRule="auto"/>
        <w:rPr>
          <w:rFonts w:ascii="仿宋_GB2312" w:hAnsi="仿宋_GB2312" w:cs="仿宋_GB2312"/>
          <w:b/>
          <w:bCs/>
          <w:color w:val="333333"/>
          <w:szCs w:val="32"/>
          <w:highlight w:val="none"/>
          <w:u w:val="single"/>
        </w:rPr>
      </w:pPr>
    </w:p>
    <w:p w14:paraId="355FCD00">
      <w:pPr>
        <w:spacing w:line="300" w:lineRule="auto"/>
        <w:rPr>
          <w:rFonts w:ascii="仿宋_GB2312" w:hAnsi="仿宋_GB2312" w:cs="仿宋_GB2312"/>
          <w:b/>
          <w:bCs/>
          <w:color w:val="333333"/>
          <w:szCs w:val="32"/>
          <w:highlight w:val="none"/>
          <w:u w:val="single"/>
        </w:rPr>
      </w:pPr>
    </w:p>
    <w:p w14:paraId="1D52F709">
      <w:pPr>
        <w:rPr>
          <w:highlight w:val="none"/>
        </w:rPr>
      </w:pPr>
    </w:p>
    <w:p w14:paraId="75109BA6">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14:paraId="0D16866C">
      <w:pPr>
        <w:pStyle w:val="4"/>
        <w:rPr>
          <w:highlight w:val="none"/>
        </w:rPr>
      </w:pPr>
    </w:p>
    <w:p w14:paraId="43B48FCD">
      <w:pPr>
        <w:autoSpaceDE w:val="0"/>
        <w:autoSpaceDN w:val="0"/>
        <w:adjustRightInd w:val="0"/>
        <w:snapToGrid w:val="0"/>
        <w:spacing w:line="300" w:lineRule="auto"/>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法人授权委托书（模板）</w:t>
      </w:r>
    </w:p>
    <w:p w14:paraId="3797D3AC">
      <w:pPr>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_GB2312" w:hAnsi="宋体" w:eastAsia="仿宋_GB2312" w:cs="Times New Roman"/>
          <w:kern w:val="2"/>
          <w:sz w:val="24"/>
          <w:szCs w:val="24"/>
          <w:highlight w:val="none"/>
        </w:rPr>
      </w:pPr>
      <w:r>
        <w:rPr>
          <w:rFonts w:hint="eastAsia" w:ascii="仿宋_GB2312" w:hAnsi="宋体" w:eastAsia="仿宋_GB2312" w:cs="Times New Roman"/>
          <w:kern w:val="2"/>
          <w:sz w:val="24"/>
          <w:szCs w:val="24"/>
          <w:highlight w:val="none"/>
          <w:lang w:val="en-US" w:eastAsia="zh-CN" w:bidi="ar"/>
        </w:rPr>
        <w:t xml:space="preserve"> </w:t>
      </w:r>
    </w:p>
    <w:p w14:paraId="1E055A30">
      <w:pPr>
        <w:keepNext w:val="0"/>
        <w:keepLines w:val="0"/>
        <w:widowControl w:val="0"/>
        <w:suppressLineNumbers w:val="0"/>
        <w:spacing w:before="0" w:beforeAutospacing="0" w:after="0" w:afterAutospacing="0" w:line="360" w:lineRule="auto"/>
        <w:ind w:left="0" w:right="0" w:firstLine="560" w:firstLineChars="200"/>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本授权委托书声明：兹授权</w:t>
      </w:r>
      <w:r>
        <w:rPr>
          <w:rFonts w:hint="eastAsia" w:ascii="仿宋_GB2312" w:hAnsi="宋体" w:eastAsia="仿宋_GB2312" w:cs="仿宋_GB2312"/>
          <w:kern w:val="2"/>
          <w:sz w:val="28"/>
          <w:szCs w:val="28"/>
          <w:highlight w:val="none"/>
          <w:u w:val="single"/>
          <w:lang w:val="en-US" w:eastAsia="zh-CN" w:bidi="ar"/>
        </w:rPr>
        <w:t>（姓名）(身份证号码：XXXXX)</w:t>
      </w:r>
      <w:r>
        <w:rPr>
          <w:rFonts w:hint="eastAsia" w:ascii="仿宋_GB2312" w:hAnsi="宋体" w:eastAsia="仿宋_GB2312" w:cs="仿宋_GB2312"/>
          <w:kern w:val="2"/>
          <w:sz w:val="28"/>
          <w:szCs w:val="28"/>
          <w:highlight w:val="none"/>
          <w:lang w:val="en-US" w:eastAsia="zh-CN" w:bidi="ar"/>
        </w:rPr>
        <w:t>为我公司参加贵单位组织的</w:t>
      </w:r>
      <w:r>
        <w:rPr>
          <w:rFonts w:hint="eastAsia" w:ascii="仿宋_GB2312" w:hAnsi="宋体" w:eastAsia="仿宋_GB2312" w:cs="仿宋_GB2312"/>
          <w:kern w:val="2"/>
          <w:sz w:val="28"/>
          <w:szCs w:val="28"/>
          <w:highlight w:val="none"/>
          <w:u w:val="single"/>
          <w:lang w:val="en-US" w:eastAsia="zh-CN" w:bidi="ar"/>
        </w:rPr>
        <w:t>（项</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目</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名</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称）</w:t>
      </w:r>
      <w:r>
        <w:rPr>
          <w:rFonts w:hint="eastAsia" w:ascii="仿宋_GB2312" w:hAnsi="宋体" w:eastAsia="仿宋_GB2312" w:cs="仿宋_GB2312"/>
          <w:kern w:val="2"/>
          <w:sz w:val="28"/>
          <w:szCs w:val="28"/>
          <w:highlight w:val="none"/>
          <w:lang w:val="en-US" w:eastAsia="zh-CN" w:bidi="ar"/>
        </w:rPr>
        <w:t>采购活动的竞标代表人，全权代表我公司处理在该项目活动中的一切事宜。代理期限从</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日起至</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日止。</w:t>
      </w:r>
    </w:p>
    <w:p w14:paraId="128E2E78">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p w14:paraId="5B1AFF86">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授权单位（签章）：</w:t>
      </w:r>
      <w:r>
        <w:rPr>
          <w:rFonts w:hint="eastAsia" w:ascii="仿宋_GB2312" w:hAnsi="宋体" w:eastAsia="仿宋_GB2312" w:cs="Times New Roman"/>
          <w:kern w:val="2"/>
          <w:sz w:val="28"/>
          <w:szCs w:val="28"/>
          <w:highlight w:val="none"/>
          <w:u w:val="single"/>
          <w:lang w:val="en-US" w:eastAsia="zh-CN" w:bidi="ar"/>
        </w:rPr>
        <w:t xml:space="preserve">               </w:t>
      </w:r>
    </w:p>
    <w:p w14:paraId="6E3F54DD">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法定代表人（签字或盖章）：</w:t>
      </w:r>
      <w:r>
        <w:rPr>
          <w:rFonts w:hint="eastAsia" w:ascii="仿宋_GB2312" w:hAnsi="宋体" w:eastAsia="仿宋_GB2312" w:cs="Times New Roman"/>
          <w:kern w:val="2"/>
          <w:sz w:val="28"/>
          <w:szCs w:val="28"/>
          <w:highlight w:val="none"/>
          <w:u w:val="single"/>
          <w:lang w:val="en-US" w:eastAsia="zh-CN" w:bidi="ar"/>
        </w:rPr>
        <w:t xml:space="preserve">       </w:t>
      </w:r>
    </w:p>
    <w:p w14:paraId="6F9C8E74">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授权委托日期：</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w:t>
      </w:r>
    </w:p>
    <w:p w14:paraId="378585FC">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075F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noWrap w:val="0"/>
            <w:vAlign w:val="top"/>
          </w:tcPr>
          <w:p w14:paraId="567B58DD">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法定代表人身份证（复印件）粘贴处：</w:t>
            </w:r>
          </w:p>
          <w:p w14:paraId="5802B2F9">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599AD6C1">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6D6D7CB4">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34A93EC2">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2EB30E75">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6288ED25">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1ED7E398">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59CBE4F4">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被授权人身份证（复印件）粘贴处：</w:t>
            </w:r>
          </w:p>
        </w:tc>
      </w:tr>
    </w:tbl>
    <w:p w14:paraId="035CBB01">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14:paraId="5297F1E4">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14:paraId="0DE3B880">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lang w:val="en-US" w:eastAsia="zh-CN" w:bidi="ar"/>
        </w:rPr>
        <w:t>政府采购违法行为风险知悉确认书</w:t>
      </w:r>
    </w:p>
    <w:p w14:paraId="0DC5B4FC">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14:paraId="709248CD">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0"/>
          <w:sz w:val="32"/>
          <w:szCs w:val="32"/>
          <w:highlight w:val="none"/>
        </w:rPr>
      </w:pPr>
      <w:r>
        <w:rPr>
          <w:rFonts w:hint="eastAsia" w:ascii="仿宋_GB2312" w:hAnsi="Times New Roman" w:eastAsia="仿宋_GB2312" w:cs="仿宋_GB2312"/>
          <w:kern w:val="2"/>
          <w:sz w:val="32"/>
          <w:szCs w:val="32"/>
          <w:highlight w:val="none"/>
          <w:lang w:val="en-US" w:eastAsia="zh-CN" w:bidi="ar"/>
        </w:rPr>
        <w:t>本公司在投标前已充分知悉以下情形为参与政府采购活动时的重大风险事项，并承诺已对下述风险提示事项重点排查，做到严谨、诚信、依法依规参与政府采购活动。</w:t>
      </w:r>
    </w:p>
    <w:p w14:paraId="2D6D7257">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一、本公司已充分知悉“隐瞒真实情况，提供虚假资料”的法定情形，相关情形包括但不限于</w:t>
      </w:r>
      <w:r>
        <w:rPr>
          <w:rFonts w:hint="eastAsia" w:ascii="仿宋_GB2312" w:hAnsi="Times New Roman" w:eastAsia="仿宋_GB2312" w:cs="仿宋_GB2312"/>
          <w:kern w:val="2"/>
          <w:sz w:val="32"/>
          <w:szCs w:val="32"/>
          <w:highlight w:val="none"/>
          <w:lang w:val="en-US" w:eastAsia="zh-CN" w:bidi="ar"/>
        </w:rPr>
        <w:t>：</w:t>
      </w:r>
    </w:p>
    <w:p w14:paraId="0FB2BCFE">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（一）通过转让或者租借等方式从其他单位获取资格或者资质证书投标的。</w:t>
      </w:r>
    </w:p>
    <w:p w14:paraId="4B0FE3DB">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（二）由其他单位或者其他单位负责人在投标供应商编制的投标文件上加盖印章或者签字的。</w:t>
      </w:r>
    </w:p>
    <w:p w14:paraId="243D434C">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（三）项目负责人或者主要技术人员不是本单位人员的。</w:t>
      </w:r>
    </w:p>
    <w:p w14:paraId="2DE4D17E">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（四）投标保证金不是从投标供应商基本账户转出的。</w:t>
      </w:r>
    </w:p>
    <w:p w14:paraId="6297828A">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（五）其他隐瞒真实情况、提供虚假资料的行为。</w:t>
      </w:r>
    </w:p>
    <w:p w14:paraId="0C0551B2">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二、本公司已充分知悉“与其他采购参加人串通投标”的法定情形，相关情形包括但不限于：</w:t>
      </w:r>
    </w:p>
    <w:p w14:paraId="68D92308">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（一）投标供应商之间相互约定给予未中标的供应商利益补偿。 </w:t>
      </w:r>
    </w:p>
    <w:p w14:paraId="240BC61C">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（二）不同投标供应商的法定代表人、主要经营负责人、项目投标授权代表人、项目负责人、主要技术人员为同一人、属同一单位或者在同一单位缴纳社会保险。</w:t>
      </w:r>
    </w:p>
    <w:p w14:paraId="5886DAFA">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（三）不同投标供应商的投标文件由同一单位或者同一人编制，或者由同一人分阶段参与编制的。</w:t>
      </w:r>
    </w:p>
    <w:p w14:paraId="5D3BB1E9">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（四）不同投标供应商的投标文件或部分投标文件相互混装。</w:t>
      </w:r>
    </w:p>
    <w:p w14:paraId="7574906F">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（五）不同投标供应商的投标文件内容存在非正常一致。</w:t>
      </w:r>
    </w:p>
    <w:p w14:paraId="58B3D8DA">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（六）由同一单位工作人员为两家以上（含两家）供应商进行同一项投标活动的。</w:t>
      </w:r>
    </w:p>
    <w:p w14:paraId="1A72A1D7">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（七）不同投标人的投标报价呈规律性差异。</w:t>
      </w:r>
    </w:p>
    <w:p w14:paraId="010CC819">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（八）不同投标人的投标保证金从同一单位或者个人的账户转出。</w:t>
      </w:r>
    </w:p>
    <w:p w14:paraId="39E8D45A">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（九）主管部门依照法律、法规认定的其他情形。</w:t>
      </w:r>
    </w:p>
    <w:p w14:paraId="073A4234">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三、本公司已充分知悉下列情形所对应的法律风险，并在投标前已对相关风险事项进行排查。</w:t>
      </w:r>
    </w:p>
    <w:p w14:paraId="16DED6C8">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（一）对于从其他主体获取的投标资料，供应商应审慎核查，确保投标资料的真实性。</w:t>
      </w:r>
      <w:r>
        <w:rPr>
          <w:rFonts w:hint="eastAsia" w:ascii="仿宋_GB2312" w:hAnsi="Times New Roman" w:eastAsia="仿宋_GB2312" w:cs="仿宋_GB2312"/>
          <w:b/>
          <w:bCs/>
          <w:kern w:val="2"/>
          <w:sz w:val="32"/>
          <w:szCs w:val="32"/>
          <w:highlight w:val="none"/>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AE91805">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（二）对于涉及国家机关出具的公文、证件、证明材料等文件，一旦涉嫌虚假，经查实，主管部门将依法从严处理，并移送有关部门追究法律责任；涉嫌犯罪的，主管部门将一并移送司法机关追究法律责任。</w:t>
      </w:r>
    </w:p>
    <w:p w14:paraId="0A5863B7">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（三）对于涉及安全生产、特种作业、抢险救灾、防疫等政府采购项目，供应商实施提供虚假资料、串通投标等违法行为的，主管部门将依法从严处理。 </w:t>
      </w:r>
    </w:p>
    <w:p w14:paraId="0B9FB469">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BA7BF29">
      <w:pPr>
        <w:keepNext w:val="0"/>
        <w:keepLines w:val="0"/>
        <w:widowControl w:val="0"/>
        <w:suppressLineNumbers w:val="0"/>
        <w:spacing w:before="0" w:beforeAutospacing="0" w:after="0" w:afterAutospacing="0" w:line="579" w:lineRule="exact"/>
        <w:ind w:left="0" w:right="0" w:firstLine="640" w:firstLineChars="200"/>
        <w:jc w:val="lef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4D1B094">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01F20D65">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四、本公司已充分知悉政府采购违法、违规行为的法律后果。</w:t>
      </w:r>
      <w:r>
        <w:rPr>
          <w:rFonts w:hint="eastAsia" w:ascii="仿宋_GB2312" w:hAnsi="Times New Roman" w:eastAsia="仿宋_GB2312" w:cs="仿宋_GB2312"/>
          <w:kern w:val="2"/>
          <w:sz w:val="32"/>
          <w:szCs w:val="32"/>
          <w:highlight w:val="none"/>
          <w:lang w:val="en-US" w:eastAsia="zh-CN"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DB960C6">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以下文字请投标供应商抄写并确认：“本公司已仔细阅读《政府采购违法行为风险知悉确认书》，充分知悉违法行为的法律后果，并承诺将严谨、诚信、依法依规参与政府采购活动”。</w:t>
      </w:r>
    </w:p>
    <w:p w14:paraId="3EDAECE5">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14:paraId="58711FE5">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u w:val="single"/>
        </w:rPr>
      </w:pPr>
      <w:r>
        <w:rPr>
          <w:rFonts w:hint="eastAsia" w:ascii="仿宋_GB2312" w:hAnsi="Times New Roman" w:eastAsia="仿宋_GB2312" w:cs="仿宋_GB2312"/>
          <w:kern w:val="2"/>
          <w:sz w:val="32"/>
          <w:szCs w:val="32"/>
          <w:highlight w:val="none"/>
          <w:u w:val="single"/>
          <w:lang w:val="en-US" w:eastAsia="zh-CN" w:bidi="ar"/>
        </w:rPr>
        <w:t xml:space="preserve">                                                    </w:t>
      </w:r>
    </w:p>
    <w:p w14:paraId="43F503B9">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14:paraId="4B1562BB">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24"/>
          <w:szCs w:val="24"/>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14:paraId="78CFD2EC">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14:paraId="5813F728">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14:paraId="5CE3BC41">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负责人/投标授权代表签名：</w:t>
      </w:r>
    </w:p>
    <w:p w14:paraId="7E206A8B">
      <w:pPr>
        <w:keepNext w:val="0"/>
        <w:keepLines w:val="0"/>
        <w:widowControl w:val="0"/>
        <w:suppressLineNumbers w:val="0"/>
        <w:spacing w:before="0" w:beforeAutospacing="0" w:after="0" w:afterAutospacing="0" w:line="579" w:lineRule="exact"/>
        <w:ind w:left="0" w:right="0" w:firstLine="640" w:firstLineChars="200"/>
        <w:jc w:val="center"/>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知悉人（公章）：</w:t>
      </w:r>
    </w:p>
    <w:p w14:paraId="0F1743B5">
      <w:pPr>
        <w:keepNext w:val="0"/>
        <w:keepLines w:val="0"/>
        <w:widowControl w:val="0"/>
        <w:suppressLineNumbers w:val="0"/>
        <w:spacing w:before="0" w:beforeAutospacing="0" w:after="0" w:afterAutospacing="0" w:line="579" w:lineRule="exact"/>
        <w:ind w:left="0" w:right="0" w:firstLine="640" w:firstLineChars="200"/>
        <w:jc w:val="center"/>
        <w:rPr>
          <w:rFonts w:hint="default" w:ascii="Times New Roman" w:hAnsi="Times New Roman" w:eastAsia="宋体"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日期：</w:t>
      </w:r>
    </w:p>
    <w:p w14:paraId="01DD57F8">
      <w:pPr>
        <w:pStyle w:val="5"/>
        <w:rPr>
          <w:rFonts w:hint="default" w:ascii="仿宋_GB2312" w:eastAsia="仿宋_GB2312" w:cs="Times New Roman"/>
          <w:b w:val="0"/>
          <w:bCs/>
          <w:color w:val="auto"/>
          <w:sz w:val="28"/>
          <w:szCs w:val="28"/>
          <w:highlight w:val="none"/>
          <w:lang w:val="en-US" w:eastAsia="zh-CN"/>
        </w:rPr>
      </w:pPr>
    </w:p>
    <w:p w14:paraId="093E1CA0">
      <w:pPr>
        <w:pStyle w:val="5"/>
        <w:rPr>
          <w:rFonts w:hint="default" w:ascii="仿宋_GB2312" w:eastAsia="仿宋_GB2312" w:cs="Times New Roman"/>
          <w:b w:val="0"/>
          <w:bCs/>
          <w:color w:val="auto"/>
          <w:sz w:val="28"/>
          <w:szCs w:val="28"/>
          <w:highlight w:val="none"/>
          <w:lang w:val="en-US" w:eastAsia="zh-CN"/>
        </w:rPr>
      </w:pPr>
    </w:p>
    <w:p w14:paraId="066EDE9E">
      <w:pPr>
        <w:rPr>
          <w:rFonts w:hint="default" w:ascii="仿宋_GB2312" w:eastAsia="仿宋_GB2312" w:cs="Times New Roman"/>
          <w:b w:val="0"/>
          <w:bCs/>
          <w:color w:val="auto"/>
          <w:sz w:val="28"/>
          <w:szCs w:val="28"/>
          <w:highlight w:val="none"/>
          <w:lang w:val="en-US" w:eastAsia="zh-CN"/>
        </w:rPr>
      </w:pPr>
    </w:p>
    <w:p w14:paraId="160F21AE">
      <w:pPr>
        <w:rPr>
          <w:rFonts w:hint="default" w:ascii="仿宋_GB2312" w:eastAsia="仿宋_GB2312" w:cs="Times New Roman"/>
          <w:b w:val="0"/>
          <w:bCs/>
          <w:color w:val="auto"/>
          <w:sz w:val="28"/>
          <w:szCs w:val="28"/>
          <w:highlight w:val="none"/>
          <w:lang w:val="en-US" w:eastAsia="zh-CN"/>
        </w:rPr>
      </w:pPr>
    </w:p>
    <w:p w14:paraId="546B7090">
      <w:pPr>
        <w:rPr>
          <w:rFonts w:hint="default" w:ascii="仿宋_GB2312" w:eastAsia="仿宋_GB2312" w:cs="Times New Roman"/>
          <w:b w:val="0"/>
          <w:bCs/>
          <w:color w:val="auto"/>
          <w:sz w:val="28"/>
          <w:szCs w:val="28"/>
          <w:highlight w:val="none"/>
          <w:lang w:val="en-US" w:eastAsia="zh-CN"/>
        </w:rPr>
      </w:pPr>
    </w:p>
    <w:p w14:paraId="661BB791">
      <w:pPr>
        <w:rPr>
          <w:rFonts w:hint="default" w:ascii="仿宋_GB2312" w:eastAsia="仿宋_GB2312" w:cs="Times New Roman"/>
          <w:b w:val="0"/>
          <w:bCs/>
          <w:color w:val="auto"/>
          <w:sz w:val="28"/>
          <w:szCs w:val="28"/>
          <w:highlight w:val="none"/>
          <w:lang w:val="en-US" w:eastAsia="zh-CN"/>
        </w:rPr>
      </w:pPr>
    </w:p>
    <w:p w14:paraId="0B5837FB">
      <w:pPr>
        <w:rPr>
          <w:rFonts w:hint="default" w:ascii="仿宋_GB2312" w:eastAsia="仿宋_GB2312" w:cs="Times New Roman"/>
          <w:b w:val="0"/>
          <w:bCs/>
          <w:color w:val="auto"/>
          <w:sz w:val="28"/>
          <w:szCs w:val="28"/>
          <w:highlight w:val="none"/>
          <w:lang w:val="en-US" w:eastAsia="zh-CN"/>
        </w:rPr>
      </w:pPr>
    </w:p>
    <w:p w14:paraId="1BDBAEA2">
      <w:pPr>
        <w:rPr>
          <w:rFonts w:hint="default" w:ascii="仿宋_GB2312" w:eastAsia="仿宋_GB2312" w:cs="Times New Roman"/>
          <w:b w:val="0"/>
          <w:bCs/>
          <w:color w:val="auto"/>
          <w:sz w:val="28"/>
          <w:szCs w:val="28"/>
          <w:highlight w:val="none"/>
          <w:lang w:val="en-US" w:eastAsia="zh-CN"/>
        </w:rPr>
      </w:pPr>
    </w:p>
    <w:p w14:paraId="51E7D0C8">
      <w:pPr>
        <w:rPr>
          <w:rFonts w:hint="default" w:ascii="仿宋_GB2312" w:eastAsia="仿宋_GB2312" w:cs="Times New Roman"/>
          <w:b w:val="0"/>
          <w:bCs/>
          <w:color w:val="auto"/>
          <w:sz w:val="28"/>
          <w:szCs w:val="28"/>
          <w:highlight w:val="none"/>
          <w:lang w:val="en-US" w:eastAsia="zh-CN"/>
        </w:rPr>
      </w:pPr>
    </w:p>
    <w:p w14:paraId="755B82F3">
      <w:pPr>
        <w:rPr>
          <w:rFonts w:hint="default" w:ascii="仿宋_GB2312" w:eastAsia="仿宋_GB2312" w:cs="Times New Roman"/>
          <w:b w:val="0"/>
          <w:bCs/>
          <w:color w:val="auto"/>
          <w:sz w:val="28"/>
          <w:szCs w:val="28"/>
          <w:highlight w:val="none"/>
          <w:lang w:val="en-US" w:eastAsia="zh-CN"/>
        </w:rPr>
      </w:pPr>
    </w:p>
    <w:p w14:paraId="3C5339CE">
      <w:pPr>
        <w:rPr>
          <w:rFonts w:hint="default" w:ascii="仿宋_GB2312" w:eastAsia="仿宋_GB2312" w:cs="Times New Roman"/>
          <w:b w:val="0"/>
          <w:bCs/>
          <w:color w:val="auto"/>
          <w:sz w:val="28"/>
          <w:szCs w:val="28"/>
          <w:highlight w:val="none"/>
          <w:lang w:val="en-US" w:eastAsia="zh-CN"/>
        </w:rPr>
      </w:pPr>
    </w:p>
    <w:p w14:paraId="6BC7D7D0">
      <w:pPr>
        <w:rPr>
          <w:rFonts w:hint="default" w:ascii="仿宋_GB2312" w:eastAsia="仿宋_GB2312" w:cs="Times New Roman"/>
          <w:b w:val="0"/>
          <w:bCs/>
          <w:color w:val="auto"/>
          <w:sz w:val="28"/>
          <w:szCs w:val="28"/>
          <w:highlight w:val="none"/>
          <w:lang w:val="en-US" w:eastAsia="zh-CN"/>
        </w:rPr>
      </w:pPr>
    </w:p>
    <w:p w14:paraId="2F3AE583">
      <w:pPr>
        <w:rPr>
          <w:rFonts w:hint="default" w:ascii="仿宋_GB2312" w:eastAsia="仿宋_GB2312" w:cs="Times New Roman"/>
          <w:b w:val="0"/>
          <w:bCs/>
          <w:color w:val="auto"/>
          <w:sz w:val="28"/>
          <w:szCs w:val="28"/>
          <w:highlight w:val="none"/>
          <w:lang w:val="en-US" w:eastAsia="zh-CN"/>
        </w:rPr>
      </w:pPr>
    </w:p>
    <w:p w14:paraId="4B1ED0D3">
      <w:pPr>
        <w:rPr>
          <w:rFonts w:hint="default" w:ascii="仿宋_GB2312" w:eastAsia="仿宋_GB2312" w:cs="Times New Roman"/>
          <w:b w:val="0"/>
          <w:bCs/>
          <w:color w:val="auto"/>
          <w:sz w:val="28"/>
          <w:szCs w:val="28"/>
          <w:highlight w:val="none"/>
          <w:lang w:val="en-US" w:eastAsia="zh-CN"/>
        </w:rPr>
      </w:pPr>
    </w:p>
    <w:p w14:paraId="6BCF84BB">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5</w:t>
      </w:r>
    </w:p>
    <w:p w14:paraId="09BA431D">
      <w:pPr>
        <w:pStyle w:val="4"/>
        <w:rPr>
          <w:highlight w:val="none"/>
        </w:rPr>
      </w:pPr>
    </w:p>
    <w:p w14:paraId="1AB8BCF2">
      <w:pPr>
        <w:autoSpaceDE w:val="0"/>
        <w:autoSpaceDN w:val="0"/>
        <w:adjustRightInd w:val="0"/>
        <w:spacing w:line="579" w:lineRule="exact"/>
        <w:ind w:firstLine="880" w:firstLineChars="200"/>
        <w:jc w:val="center"/>
        <w:rPr>
          <w:rFonts w:hint="eastAsia"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政府采购投标及履约承诺函</w:t>
      </w:r>
    </w:p>
    <w:p w14:paraId="09E3E54E">
      <w:pPr>
        <w:keepNext/>
        <w:keepLines/>
        <w:widowControl w:val="0"/>
        <w:spacing w:before="140" w:after="140" w:line="360" w:lineRule="auto"/>
        <w:ind w:left="0" w:leftChars="0" w:firstLine="0" w:firstLineChars="0"/>
        <w:jc w:val="both"/>
        <w:textAlignment w:val="baseline"/>
        <w:rPr>
          <w:rFonts w:hint="eastAsia" w:ascii="Calibri" w:hAnsi="Calibri" w:eastAsia="黑体" w:cs="Times New Roman"/>
          <w:kern w:val="2"/>
          <w:sz w:val="21"/>
          <w:szCs w:val="24"/>
          <w:highlight w:val="none"/>
          <w:lang w:val="en-US" w:eastAsia="zh-CN" w:bidi="ar-SA"/>
        </w:rPr>
      </w:pPr>
    </w:p>
    <w:p w14:paraId="148A6DFF">
      <w:pPr>
        <w:adjustRightInd w:val="0"/>
        <w:snapToGrid w:val="0"/>
        <w:spacing w:line="578" w:lineRule="exact"/>
        <w:ind w:firstLine="560" w:firstLineChars="200"/>
        <w:rPr>
          <w:rFonts w:hint="eastAsia" w:ascii="仿宋_GB2312" w:hAnsi="Times New Roman" w:eastAsia="仿宋_GB2312" w:cs="Times New Roman"/>
          <w:sz w:val="28"/>
          <w:szCs w:val="28"/>
          <w:highlight w:val="none"/>
          <w:lang w:eastAsia="zh-CN" w:bidi="ar"/>
        </w:rPr>
      </w:pPr>
      <w:r>
        <w:rPr>
          <w:rFonts w:hint="eastAsia" w:ascii="仿宋_GB2312" w:hAnsi="Times New Roman" w:eastAsia="仿宋_GB2312" w:cs="Times New Roman"/>
          <w:sz w:val="28"/>
          <w:szCs w:val="28"/>
          <w:highlight w:val="none"/>
          <w:lang w:bidi="ar"/>
        </w:rPr>
        <w:t>致：深圳市福田区残疾人综合服务中心</w:t>
      </w:r>
    </w:p>
    <w:p w14:paraId="26775030">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我公司承诺：</w:t>
      </w:r>
    </w:p>
    <w:p w14:paraId="7C2CC084">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1.我公司本招标项目所提供的货物或服务未侵犯知识产权。</w:t>
      </w:r>
    </w:p>
    <w:p w14:paraId="6C515CE2">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2.我公司参与本项目投标前三年内，在经营活动中没有重大违法记录。</w:t>
      </w:r>
    </w:p>
    <w:p w14:paraId="62D0C6E9">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3.我公司参与本项目政府采购活动时不存在被有关部门禁止参与政府采购活动且在有效期内的情况。</w:t>
      </w:r>
    </w:p>
    <w:p w14:paraId="2643F32A">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4.我公司具备《中华人民共和国政府采购法》第二十二条第一款规定的六项条件。</w:t>
      </w:r>
    </w:p>
    <w:p w14:paraId="68E66EFA">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5.我公司未被列入失信被执行人、重大税收违法案件当事人名单、政府采购严重违法失信行为记录名单。</w:t>
      </w:r>
    </w:p>
    <w:p w14:paraId="5B340BF0">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519BBD6E">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7.我公司如果中标，做到守信，不偷工减料，依照本项目招标文件需求内容、签署的采购合同及本公司在投标中所作的一切承诺履约。项目验收达到全部指标合格，力争优良。</w:t>
      </w:r>
    </w:p>
    <w:p w14:paraId="559B8207">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55204FBD">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13CBB31E">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10.我公司承诺不非法转包、分包。</w:t>
      </w:r>
    </w:p>
    <w:p w14:paraId="69EA71C0">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以上承诺，如有违反，愿依照国家相关法律处理，并承担由此给采购人带来的损失。                                 </w:t>
      </w:r>
    </w:p>
    <w:p w14:paraId="26FEAECD">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投标人：（公章）                       </w:t>
      </w:r>
    </w:p>
    <w:p w14:paraId="3E216653">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单位地址：               </w:t>
      </w:r>
    </w:p>
    <w:p w14:paraId="53ACE124">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法定代表人或其委托代理人：（盖章或签字）</w:t>
      </w:r>
    </w:p>
    <w:p w14:paraId="0C668916">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日期：    年   月   日   </w:t>
      </w:r>
    </w:p>
    <w:p w14:paraId="16D2814D">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lang w:val="en-US" w:eastAsia="zh-CN" w:bidi="ar"/>
        </w:rPr>
      </w:pPr>
    </w:p>
    <w:p w14:paraId="0BE428B0">
      <w:pPr>
        <w:pStyle w:val="5"/>
        <w:rPr>
          <w:rFonts w:hint="default" w:ascii="仿宋_GB2312" w:eastAsia="仿宋_GB2312" w:cs="Times New Roman"/>
          <w:b w:val="0"/>
          <w:bCs/>
          <w:color w:val="auto"/>
          <w:sz w:val="28"/>
          <w:szCs w:val="28"/>
          <w:highlight w:val="none"/>
          <w:lang w:val="en-US" w:eastAsia="zh-CN"/>
        </w:rPr>
      </w:pPr>
    </w:p>
    <w:p w14:paraId="38CB93E5">
      <w:pPr>
        <w:pStyle w:val="5"/>
        <w:rPr>
          <w:rFonts w:hint="default" w:ascii="仿宋_GB2312" w:eastAsia="仿宋_GB2312" w:cs="Times New Roman"/>
          <w:b w:val="0"/>
          <w:bCs/>
          <w:color w:val="auto"/>
          <w:sz w:val="28"/>
          <w:szCs w:val="28"/>
          <w:highlight w:val="none"/>
          <w:lang w:val="en-US" w:eastAsia="zh-CN"/>
        </w:rPr>
      </w:pPr>
    </w:p>
    <w:p w14:paraId="1184FB14">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6</w:t>
      </w:r>
    </w:p>
    <w:p w14:paraId="2C572902">
      <w:pPr>
        <w:keepNext w:val="0"/>
        <w:keepLines w:val="0"/>
        <w:widowControl w:val="0"/>
        <w:suppressLineNumbers w:val="0"/>
        <w:spacing w:before="0" w:beforeAutospacing="0" w:after="0" w:afterAutospacing="0" w:line="560" w:lineRule="exact"/>
        <w:ind w:right="0"/>
        <w:jc w:val="both"/>
        <w:rPr>
          <w:rFonts w:hint="eastAsia" w:ascii="方正小标宋_GBK" w:hAnsi="方正小标宋_GBK" w:eastAsia="方正小标宋_GBK" w:cs="方正小标宋_GBK"/>
          <w:kern w:val="2"/>
          <w:sz w:val="44"/>
          <w:szCs w:val="44"/>
          <w:highlight w:val="none"/>
        </w:rPr>
      </w:pPr>
    </w:p>
    <w:p w14:paraId="3C2C9149">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lang w:val="en-US" w:eastAsia="zh-CN" w:bidi="ar"/>
        </w:rPr>
      </w:pPr>
    </w:p>
    <w:p w14:paraId="206D27B0">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kern w:val="2"/>
          <w:sz w:val="44"/>
          <w:szCs w:val="44"/>
          <w:highlight w:val="none"/>
          <w:lang w:val="en-US" w:eastAsia="zh-CN" w:bidi="ar"/>
        </w:rPr>
        <w:t>无不良行为承诺书</w:t>
      </w:r>
    </w:p>
    <w:p w14:paraId="31CDC9C0">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14:paraId="564E90B8">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致：</w:t>
      </w:r>
      <w:r>
        <w:rPr>
          <w:rFonts w:hint="eastAsia" w:ascii="仿宋_GB2312" w:eastAsia="仿宋_GB2312" w:cs="仿宋_GB2312"/>
          <w:kern w:val="2"/>
          <w:sz w:val="32"/>
          <w:szCs w:val="32"/>
          <w:highlight w:val="none"/>
          <w:lang w:val="en-US" w:eastAsia="zh-CN" w:bidi="ar"/>
        </w:rPr>
        <w:t>深圳市福田区残疾人综合服务中心</w:t>
      </w:r>
    </w:p>
    <w:p w14:paraId="64856B29">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我单位目前处于正常营业状态。在此声明与承诺如下：</w:t>
      </w:r>
    </w:p>
    <w:p w14:paraId="3F2DE6AF">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（一）符合《中华人民共和国政府采购法》第二十二条规定的条件</w:t>
      </w:r>
      <w:r>
        <w:rPr>
          <w:rFonts w:hint="eastAsia" w:ascii="仿宋_GB2312" w:hAnsi="Calibri" w:eastAsia="仿宋_GB2312" w:cs="仿宋_GB2312"/>
          <w:kern w:val="2"/>
          <w:sz w:val="32"/>
          <w:szCs w:val="32"/>
          <w:highlight w:val="none"/>
          <w:lang w:val="en-US" w:eastAsia="zh-CN" w:bidi="ar"/>
        </w:rPr>
        <w:br w:type="textWrapping"/>
      </w:r>
      <w:r>
        <w:rPr>
          <w:rFonts w:hint="eastAsia" w:ascii="仿宋_GB2312" w:hAnsi="Calibri" w:eastAsia="仿宋_GB2312" w:cs="仿宋_GB2312"/>
          <w:kern w:val="2"/>
          <w:sz w:val="32"/>
          <w:szCs w:val="32"/>
          <w:highlight w:val="none"/>
          <w:lang w:val="en-US" w:eastAsia="zh-CN" w:bidi="ar"/>
        </w:rPr>
        <w:t xml:space="preserve">    （二）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14:paraId="546DBDD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（三）我单位保证参与本项目后不再转包或分包。</w:t>
      </w:r>
    </w:p>
    <w:p w14:paraId="161D8FA8">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我单位对以上承诺的真实性负责，如有不实，自愿接受相关法律法规的处罚及其他一切后果。</w:t>
      </w:r>
    </w:p>
    <w:p w14:paraId="201BB51E">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特此承诺。</w:t>
      </w:r>
    </w:p>
    <w:p w14:paraId="4EF03C5D">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14:paraId="48B307B1">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14:paraId="54BE603C">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负责人/投标授权代表签名：</w:t>
      </w:r>
    </w:p>
    <w:p w14:paraId="1FAEC214">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承诺人（公章）：</w:t>
      </w:r>
    </w:p>
    <w:p w14:paraId="49E6C87B">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日期：</w:t>
      </w:r>
    </w:p>
    <w:p w14:paraId="52EAE031">
      <w:pPr>
        <w:rPr>
          <w:highlight w:val="none"/>
        </w:rPr>
      </w:pPr>
    </w:p>
    <w:p w14:paraId="7A8C7202">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7</w:t>
      </w:r>
    </w:p>
    <w:p w14:paraId="1EFD3586">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14:paraId="166AE59A">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14:paraId="4A64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F84557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F3850E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278828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11BD863D">
            <w:pPr>
              <w:jc w:val="center"/>
              <w:rPr>
                <w:rFonts w:hint="eastAsia" w:ascii="方正仿宋_GBK" w:hAnsi="方正仿宋_GBK" w:eastAsia="方正仿宋_GBK" w:cs="方正仿宋_GBK"/>
                <w:sz w:val="24"/>
                <w:szCs w:val="24"/>
                <w:vertAlign w:val="baseline"/>
                <w:lang w:val="en-US" w:eastAsia="zh-CN"/>
              </w:rPr>
            </w:pPr>
          </w:p>
        </w:tc>
      </w:tr>
      <w:tr w14:paraId="434E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CF9609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1ED90A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763AF2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7C450823">
            <w:pPr>
              <w:jc w:val="center"/>
              <w:rPr>
                <w:rFonts w:hint="eastAsia" w:ascii="方正仿宋_GBK" w:hAnsi="方正仿宋_GBK" w:eastAsia="方正仿宋_GBK" w:cs="方正仿宋_GBK"/>
                <w:sz w:val="24"/>
                <w:szCs w:val="24"/>
                <w:vertAlign w:val="baseline"/>
                <w:lang w:val="en-US" w:eastAsia="zh-CN"/>
              </w:rPr>
            </w:pPr>
          </w:p>
        </w:tc>
      </w:tr>
      <w:tr w14:paraId="4465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6D695E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39A1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50F69B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2D93E55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5DD8D35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49E8B88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7D88F33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0ECEBB0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4F35546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203425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1C1D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DF1406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0EDBA54">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B47BD8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41DBA38">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A021E00">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C6C3739">
            <w:pPr>
              <w:jc w:val="center"/>
              <w:rPr>
                <w:rFonts w:hint="eastAsia" w:ascii="方正仿宋_GBK" w:hAnsi="方正仿宋_GBK" w:eastAsia="方正仿宋_GBK" w:cs="方正仿宋_GBK"/>
                <w:sz w:val="24"/>
                <w:szCs w:val="24"/>
                <w:vertAlign w:val="baseline"/>
                <w:lang w:val="en-US" w:eastAsia="zh-CN"/>
              </w:rPr>
            </w:pPr>
          </w:p>
        </w:tc>
      </w:tr>
      <w:tr w14:paraId="2A43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29C1810">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6ED45C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4310EA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927D128">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8F55997">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C625BEA">
            <w:pPr>
              <w:jc w:val="center"/>
              <w:rPr>
                <w:rFonts w:hint="eastAsia" w:ascii="方正仿宋_GBK" w:hAnsi="方正仿宋_GBK" w:eastAsia="方正仿宋_GBK" w:cs="方正仿宋_GBK"/>
                <w:sz w:val="24"/>
                <w:szCs w:val="24"/>
                <w:vertAlign w:val="baseline"/>
                <w:lang w:val="en-US" w:eastAsia="zh-CN"/>
              </w:rPr>
            </w:pPr>
          </w:p>
        </w:tc>
      </w:tr>
      <w:tr w14:paraId="083B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371DEFD">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1A65713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4144F7D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16BED859">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5020506F">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237B3F2E">
            <w:pPr>
              <w:jc w:val="center"/>
              <w:rPr>
                <w:rFonts w:hint="eastAsia" w:ascii="方正仿宋_GBK" w:hAnsi="方正仿宋_GBK" w:eastAsia="方正仿宋_GBK" w:cs="方正仿宋_GBK"/>
                <w:sz w:val="24"/>
                <w:szCs w:val="24"/>
                <w:vertAlign w:val="baseline"/>
                <w:lang w:val="en-US" w:eastAsia="zh-CN"/>
              </w:rPr>
            </w:pPr>
          </w:p>
        </w:tc>
      </w:tr>
      <w:tr w14:paraId="307E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831486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D8C4AC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5D200E7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E7F0886">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86D611F">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32BDD54">
            <w:pPr>
              <w:jc w:val="center"/>
              <w:rPr>
                <w:rFonts w:hint="eastAsia" w:ascii="方正仿宋_GBK" w:hAnsi="方正仿宋_GBK" w:eastAsia="方正仿宋_GBK" w:cs="方正仿宋_GBK"/>
                <w:sz w:val="24"/>
                <w:szCs w:val="24"/>
                <w:vertAlign w:val="baseline"/>
                <w:lang w:val="en-US" w:eastAsia="zh-CN"/>
              </w:rPr>
            </w:pPr>
          </w:p>
        </w:tc>
      </w:tr>
      <w:tr w14:paraId="2EE7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9980446">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689D63FD">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14:paraId="7F0188E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051759F">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21F42E1E">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651FB1A1">
            <w:pPr>
              <w:jc w:val="center"/>
              <w:rPr>
                <w:rFonts w:hint="eastAsia" w:ascii="方正仿宋_GBK" w:hAnsi="方正仿宋_GBK" w:eastAsia="方正仿宋_GBK" w:cs="方正仿宋_GBK"/>
                <w:sz w:val="24"/>
                <w:szCs w:val="24"/>
                <w:vertAlign w:val="baseline"/>
                <w:lang w:val="en-US" w:eastAsia="zh-CN"/>
              </w:rPr>
            </w:pPr>
          </w:p>
        </w:tc>
      </w:tr>
      <w:tr w14:paraId="5642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07A8609">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6EE0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C14130B">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88E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BDB6649">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4D5898C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4FBC40FF">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45724038">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77AC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AA1127E">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BFE9E5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47829E6">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15805D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bl>
    <w:p w14:paraId="3BD3C5C4"/>
    <w:p w14:paraId="30695F1D"/>
    <w:p w14:paraId="44F7B943">
      <w:pPr>
        <w:pStyle w:val="5"/>
      </w:pPr>
    </w:p>
    <w:p w14:paraId="5B865003"/>
    <w:p w14:paraId="3D8A2E85"/>
    <w:p w14:paraId="0FCB03DF"/>
    <w:p w14:paraId="1C3CD084">
      <w:pPr>
        <w:widowControl w:val="0"/>
        <w:numPr>
          <w:ilvl w:val="0"/>
          <w:numId w:val="0"/>
        </w:numPr>
        <w:autoSpaceDE w:val="0"/>
        <w:autoSpaceDN w:val="0"/>
        <w:adjustRightInd w:val="0"/>
        <w:snapToGrid w:val="0"/>
        <w:spacing w:line="300" w:lineRule="auto"/>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8</w:t>
      </w:r>
    </w:p>
    <w:p w14:paraId="2666F0BD">
      <w:pPr>
        <w:pStyle w:val="3"/>
        <w:spacing w:line="400" w:lineRule="exact"/>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投标人诚信承诺函</w:t>
      </w:r>
    </w:p>
    <w:p w14:paraId="0F043023">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致</w:t>
      </w:r>
      <w:r>
        <w:rPr>
          <w:rFonts w:hint="eastAsia" w:ascii="微软雅黑" w:hAnsi="微软雅黑" w:eastAsia="微软雅黑" w:cs="微软雅黑"/>
          <w:sz w:val="28"/>
          <w:szCs w:val="28"/>
          <w:u w:val="single"/>
          <w:lang w:eastAsia="zh-CN"/>
        </w:rPr>
        <w:t>深圳市福田区残疾人综合服务中心</w:t>
      </w:r>
      <w:r>
        <w:rPr>
          <w:rFonts w:hint="eastAsia" w:ascii="微软雅黑" w:hAnsi="微软雅黑" w:eastAsia="微软雅黑" w:cs="微软雅黑"/>
          <w:sz w:val="28"/>
          <w:szCs w:val="28"/>
        </w:rPr>
        <w:t>：</w:t>
      </w:r>
    </w:p>
    <w:p w14:paraId="428758D6">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我公司承诺近三年在政府采购招标投标活动中，不存在以下情形：</w:t>
      </w:r>
    </w:p>
    <w:p w14:paraId="67A12E0D">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（一）被纪检监察部门立案调查，违法违规事实成立的；</w:t>
      </w:r>
    </w:p>
    <w:p w14:paraId="0A5607EE">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（二）未按本条例规定签订、履行采购合同，造成严重后果的；</w:t>
      </w:r>
    </w:p>
    <w:p w14:paraId="77EF5856">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（三）隐瞒真实情况，提供虚假资料的；</w:t>
      </w:r>
    </w:p>
    <w:p w14:paraId="2150509F">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（四）以非法手段排斥其他供应商参与竞争的；</w:t>
      </w:r>
    </w:p>
    <w:p w14:paraId="2D4D9DBA">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（五）与其他采购参加人串通投标的；</w:t>
      </w:r>
    </w:p>
    <w:p w14:paraId="7FD80CD6">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（六）在采购活动中应当回避而未回避的； </w:t>
      </w:r>
    </w:p>
    <w:p w14:paraId="7E982326">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（七）恶意投诉的； </w:t>
      </w:r>
    </w:p>
    <w:p w14:paraId="2107DC0E">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（八）向采购项目相关人行贿或者提供其他不当利益的； </w:t>
      </w:r>
    </w:p>
    <w:p w14:paraId="36D7E03D">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（九）阻碍、抗拒主管部门监督检查的；</w:t>
      </w:r>
      <w:bookmarkStart w:id="0" w:name="_GoBack"/>
      <w:bookmarkEnd w:id="0"/>
    </w:p>
    <w:p w14:paraId="45C195E5">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（十）履约检查不合格或者评价为差的；</w:t>
      </w:r>
    </w:p>
    <w:p w14:paraId="2ECBE857">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（十一）主管部门认定的其他情形。</w:t>
      </w:r>
    </w:p>
    <w:p w14:paraId="17C47F0A">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7CF01A2C">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特此承诺。</w:t>
      </w:r>
    </w:p>
    <w:p w14:paraId="37292C76">
      <w:pPr>
        <w:spacing w:line="400" w:lineRule="exact"/>
        <w:jc w:val="right"/>
        <w:rPr>
          <w:rFonts w:hint="eastAsia" w:ascii="微软雅黑" w:hAnsi="微软雅黑" w:eastAsia="微软雅黑" w:cs="微软雅黑"/>
          <w:sz w:val="28"/>
          <w:szCs w:val="28"/>
        </w:rPr>
      </w:pPr>
    </w:p>
    <w:p w14:paraId="41E1DDCF">
      <w:pPr>
        <w:spacing w:line="400" w:lineRule="exact"/>
        <w:jc w:val="right"/>
        <w:rPr>
          <w:rFonts w:hint="eastAsia" w:ascii="微软雅黑" w:hAnsi="微软雅黑" w:eastAsia="微软雅黑" w:cs="微软雅黑"/>
          <w:sz w:val="28"/>
          <w:szCs w:val="28"/>
        </w:rPr>
      </w:pPr>
    </w:p>
    <w:p w14:paraId="63C83C35">
      <w:pPr>
        <w:adjustRightInd w:val="0"/>
        <w:snapToGrid w:val="0"/>
        <w:spacing w:line="400" w:lineRule="exact"/>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投标人法定代表人（或法定代表人授权代表）签字：</w:t>
      </w:r>
    </w:p>
    <w:p w14:paraId="22F9C0A1">
      <w:pPr>
        <w:adjustRightInd w:val="0"/>
        <w:snapToGrid w:val="0"/>
        <w:spacing w:line="400" w:lineRule="exact"/>
        <w:ind w:right="210"/>
        <w:jc w:val="right"/>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投标人名称（签章）：</w:t>
      </w:r>
    </w:p>
    <w:p w14:paraId="5DA82671">
      <w:pPr>
        <w:spacing w:line="400" w:lineRule="exact"/>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日期：   年   月   日</w:t>
      </w:r>
    </w:p>
    <w:p w14:paraId="5F6D8CE3">
      <w:pPr>
        <w:rPr>
          <w:rFonts w:hint="eastAsia" w:ascii="微软雅黑" w:hAnsi="微软雅黑" w:eastAsia="微软雅黑" w:cs="微软雅黑"/>
          <w:sz w:val="28"/>
          <w:szCs w:val="28"/>
        </w:rPr>
      </w:pPr>
    </w:p>
    <w:p w14:paraId="64E79322">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0125E440">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sectPr>
      <w:footerReference r:id="rId3"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3E6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2C409">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72C409">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01637"/>
    <w:multiLevelType w:val="singleLevel"/>
    <w:tmpl w:val="55E016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jkzNTUxOTAzNzllNTU5YjllODNhY2I2ODU3M2EifQ=="/>
  </w:docVars>
  <w:rsids>
    <w:rsidRoot w:val="00000000"/>
    <w:rsid w:val="00303633"/>
    <w:rsid w:val="01A73D87"/>
    <w:rsid w:val="01BF37C7"/>
    <w:rsid w:val="035717DD"/>
    <w:rsid w:val="059C6184"/>
    <w:rsid w:val="06132E53"/>
    <w:rsid w:val="06277B3D"/>
    <w:rsid w:val="06F13CA3"/>
    <w:rsid w:val="07ED43AE"/>
    <w:rsid w:val="080B2B96"/>
    <w:rsid w:val="083245C7"/>
    <w:rsid w:val="083C3457"/>
    <w:rsid w:val="08B256D4"/>
    <w:rsid w:val="09B42E8B"/>
    <w:rsid w:val="0A40746F"/>
    <w:rsid w:val="0B325009"/>
    <w:rsid w:val="0CE57E5A"/>
    <w:rsid w:val="0DCF0B9E"/>
    <w:rsid w:val="0E025040"/>
    <w:rsid w:val="0E1C78AB"/>
    <w:rsid w:val="0E2826F4"/>
    <w:rsid w:val="0E923639"/>
    <w:rsid w:val="0F655282"/>
    <w:rsid w:val="0FAB538A"/>
    <w:rsid w:val="10093E5F"/>
    <w:rsid w:val="102305DE"/>
    <w:rsid w:val="10A87569"/>
    <w:rsid w:val="10B169D0"/>
    <w:rsid w:val="10ED552F"/>
    <w:rsid w:val="114E0946"/>
    <w:rsid w:val="11C42733"/>
    <w:rsid w:val="126F0242"/>
    <w:rsid w:val="12877FDC"/>
    <w:rsid w:val="128D521B"/>
    <w:rsid w:val="13497577"/>
    <w:rsid w:val="13FC17C7"/>
    <w:rsid w:val="15267AA4"/>
    <w:rsid w:val="155B515D"/>
    <w:rsid w:val="17B317DF"/>
    <w:rsid w:val="17F60BFF"/>
    <w:rsid w:val="18534811"/>
    <w:rsid w:val="18755243"/>
    <w:rsid w:val="19B97CAB"/>
    <w:rsid w:val="19F416DC"/>
    <w:rsid w:val="1A3348FA"/>
    <w:rsid w:val="1A7D49DD"/>
    <w:rsid w:val="1B486183"/>
    <w:rsid w:val="1B724FAE"/>
    <w:rsid w:val="1CA1626C"/>
    <w:rsid w:val="1CFC1D1D"/>
    <w:rsid w:val="1D8F0AF0"/>
    <w:rsid w:val="1E3B1FCF"/>
    <w:rsid w:val="1E71154D"/>
    <w:rsid w:val="1F813A12"/>
    <w:rsid w:val="1FBA098B"/>
    <w:rsid w:val="21B361F7"/>
    <w:rsid w:val="21FC3D7C"/>
    <w:rsid w:val="222114DC"/>
    <w:rsid w:val="222608A0"/>
    <w:rsid w:val="227535A6"/>
    <w:rsid w:val="227E692E"/>
    <w:rsid w:val="236F2426"/>
    <w:rsid w:val="23B720F8"/>
    <w:rsid w:val="2435126F"/>
    <w:rsid w:val="2449510D"/>
    <w:rsid w:val="2490179A"/>
    <w:rsid w:val="24D26ABE"/>
    <w:rsid w:val="25083AB9"/>
    <w:rsid w:val="25BA1A2C"/>
    <w:rsid w:val="26553ACA"/>
    <w:rsid w:val="274B0F06"/>
    <w:rsid w:val="283A0D6E"/>
    <w:rsid w:val="284C045D"/>
    <w:rsid w:val="296A19BB"/>
    <w:rsid w:val="29AD1774"/>
    <w:rsid w:val="2A247DBB"/>
    <w:rsid w:val="2AAD6003"/>
    <w:rsid w:val="2AF61758"/>
    <w:rsid w:val="2B404781"/>
    <w:rsid w:val="2BB853FD"/>
    <w:rsid w:val="2BDF21EC"/>
    <w:rsid w:val="2BFF63EA"/>
    <w:rsid w:val="2D663463"/>
    <w:rsid w:val="2D9B2143"/>
    <w:rsid w:val="2FD91648"/>
    <w:rsid w:val="30662EDC"/>
    <w:rsid w:val="30817D16"/>
    <w:rsid w:val="30850E88"/>
    <w:rsid w:val="30BF439A"/>
    <w:rsid w:val="31027FAB"/>
    <w:rsid w:val="3140197F"/>
    <w:rsid w:val="31D67BED"/>
    <w:rsid w:val="324059AE"/>
    <w:rsid w:val="32F3657D"/>
    <w:rsid w:val="3308739E"/>
    <w:rsid w:val="338E62A6"/>
    <w:rsid w:val="34140EA1"/>
    <w:rsid w:val="341B3FDD"/>
    <w:rsid w:val="34AE30A3"/>
    <w:rsid w:val="34B803B5"/>
    <w:rsid w:val="353D61D5"/>
    <w:rsid w:val="35D30719"/>
    <w:rsid w:val="3600792F"/>
    <w:rsid w:val="367774C5"/>
    <w:rsid w:val="36F91849"/>
    <w:rsid w:val="38653A79"/>
    <w:rsid w:val="39180AEB"/>
    <w:rsid w:val="393263B1"/>
    <w:rsid w:val="396E2E01"/>
    <w:rsid w:val="39A24859"/>
    <w:rsid w:val="39E6508D"/>
    <w:rsid w:val="39F94DC1"/>
    <w:rsid w:val="3A6D4E67"/>
    <w:rsid w:val="3BD37CB7"/>
    <w:rsid w:val="3CBA010B"/>
    <w:rsid w:val="3E3D2DA2"/>
    <w:rsid w:val="3EF618CF"/>
    <w:rsid w:val="3F5B4F7D"/>
    <w:rsid w:val="405C6D2C"/>
    <w:rsid w:val="40C81049"/>
    <w:rsid w:val="436332AB"/>
    <w:rsid w:val="44BC12E4"/>
    <w:rsid w:val="45336CAD"/>
    <w:rsid w:val="465869CB"/>
    <w:rsid w:val="471A797C"/>
    <w:rsid w:val="47811F51"/>
    <w:rsid w:val="491A4480"/>
    <w:rsid w:val="49301E81"/>
    <w:rsid w:val="49DF4F5A"/>
    <w:rsid w:val="4A190B67"/>
    <w:rsid w:val="4A4756D4"/>
    <w:rsid w:val="4A8F776F"/>
    <w:rsid w:val="4B0B4954"/>
    <w:rsid w:val="4BD20634"/>
    <w:rsid w:val="4CBB4158"/>
    <w:rsid w:val="4D1B69A4"/>
    <w:rsid w:val="4D1D0480"/>
    <w:rsid w:val="4E7B594C"/>
    <w:rsid w:val="4E9D1D67"/>
    <w:rsid w:val="4EAC6A9E"/>
    <w:rsid w:val="4F4D6FA7"/>
    <w:rsid w:val="50AA42C7"/>
    <w:rsid w:val="50DA182B"/>
    <w:rsid w:val="50DD28EE"/>
    <w:rsid w:val="50E9185B"/>
    <w:rsid w:val="51112598"/>
    <w:rsid w:val="51323B60"/>
    <w:rsid w:val="515523EF"/>
    <w:rsid w:val="51FB63DB"/>
    <w:rsid w:val="52EF4B5B"/>
    <w:rsid w:val="530B542B"/>
    <w:rsid w:val="545E17CF"/>
    <w:rsid w:val="54990DE5"/>
    <w:rsid w:val="555F443D"/>
    <w:rsid w:val="558772CD"/>
    <w:rsid w:val="561A5A4B"/>
    <w:rsid w:val="56366FA2"/>
    <w:rsid w:val="56A25A40"/>
    <w:rsid w:val="575241E2"/>
    <w:rsid w:val="58B80433"/>
    <w:rsid w:val="590B0657"/>
    <w:rsid w:val="5AD34E5B"/>
    <w:rsid w:val="5ADF4C6F"/>
    <w:rsid w:val="5AE12FDB"/>
    <w:rsid w:val="5AEA63E6"/>
    <w:rsid w:val="5B0A39B7"/>
    <w:rsid w:val="5B1B25F4"/>
    <w:rsid w:val="5C9A3368"/>
    <w:rsid w:val="5C9C6348"/>
    <w:rsid w:val="5D5977A1"/>
    <w:rsid w:val="5EA467FA"/>
    <w:rsid w:val="5EE51B79"/>
    <w:rsid w:val="61E810F3"/>
    <w:rsid w:val="62E53885"/>
    <w:rsid w:val="6361115D"/>
    <w:rsid w:val="63AB4186"/>
    <w:rsid w:val="63DC72CA"/>
    <w:rsid w:val="64623156"/>
    <w:rsid w:val="64BA1191"/>
    <w:rsid w:val="64BB489D"/>
    <w:rsid w:val="6518584B"/>
    <w:rsid w:val="653A3C82"/>
    <w:rsid w:val="65C7198A"/>
    <w:rsid w:val="66A575B3"/>
    <w:rsid w:val="679F604F"/>
    <w:rsid w:val="6804458B"/>
    <w:rsid w:val="68091DC3"/>
    <w:rsid w:val="68225BFE"/>
    <w:rsid w:val="69823BDB"/>
    <w:rsid w:val="6A0D5B9B"/>
    <w:rsid w:val="6AB44268"/>
    <w:rsid w:val="6E276AFF"/>
    <w:rsid w:val="6F25238E"/>
    <w:rsid w:val="6F7E5BDF"/>
    <w:rsid w:val="6FD24CCB"/>
    <w:rsid w:val="709D754D"/>
    <w:rsid w:val="7173341A"/>
    <w:rsid w:val="717464FF"/>
    <w:rsid w:val="71A212BE"/>
    <w:rsid w:val="73571C35"/>
    <w:rsid w:val="74542618"/>
    <w:rsid w:val="746C5BB4"/>
    <w:rsid w:val="77000835"/>
    <w:rsid w:val="780660FE"/>
    <w:rsid w:val="780D318A"/>
    <w:rsid w:val="78AC730C"/>
    <w:rsid w:val="78E35D19"/>
    <w:rsid w:val="78F63C9E"/>
    <w:rsid w:val="79DD09BA"/>
    <w:rsid w:val="7A214D4A"/>
    <w:rsid w:val="7A845222"/>
    <w:rsid w:val="7D164481"/>
    <w:rsid w:val="7DA63EE4"/>
    <w:rsid w:val="7E235535"/>
    <w:rsid w:val="7E4429C0"/>
    <w:rsid w:val="7E9D699D"/>
    <w:rsid w:val="7F0F5AB9"/>
    <w:rsid w:val="7FA7427E"/>
    <w:rsid w:val="7FC4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48"/>
      <w:szCs w:val="48"/>
    </w:rPr>
  </w:style>
  <w:style w:type="paragraph" w:styleId="3">
    <w:name w:val="heading 4"/>
    <w:basedOn w:val="1"/>
    <w:next w:val="1"/>
    <w:unhideWhenUsed/>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560" w:lineRule="exact"/>
      <w:ind w:firstLine="420" w:firstLineChars="200"/>
    </w:pPr>
  </w:style>
  <w:style w:type="paragraph" w:styleId="5">
    <w:name w:val="Body Text"/>
    <w:basedOn w:val="1"/>
    <w:next w:val="1"/>
    <w:qFormat/>
    <w:uiPriority w:val="0"/>
    <w:pPr>
      <w:spacing w:line="360" w:lineRule="auto"/>
    </w:pPr>
    <w:rPr>
      <w:b/>
      <w:bC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0"/>
    <w:pPr>
      <w:spacing w:before="240" w:after="60"/>
      <w:jc w:val="center"/>
      <w:outlineLvl w:val="0"/>
    </w:pPr>
    <w:rPr>
      <w:rFonts w:ascii="Arial" w:hAnsi="Arial" w:eastAsia="隶书" w:cs="Arial"/>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6988</Words>
  <Characters>7111</Characters>
  <Lines>0</Lines>
  <Paragraphs>0</Paragraphs>
  <TotalTime>26</TotalTime>
  <ScaleCrop>false</ScaleCrop>
  <LinksUpToDate>false</LinksUpToDate>
  <CharactersWithSpaces>7729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2022-10-26T07:00:00Z</dcterms:created>
  <dc:creator>Administrator</dc:creator>
  <cp:lastModifiedBy>ohana</cp:lastModifiedBy>
  <cp:lastPrinted>2026-06-26T04:03:00Z</cp:lastPrinted>
  <dcterms:modified xsi:type="dcterms:W3CDTF">2026-06-30T00:52:35Z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3EEF34A7585E4F7CBA29DB2DEB713FC2</vt:lpwstr>
  </property>
  <property fmtid="{D5CDD505-2E9C-101B-9397-08002B2CF9AE}" pid="4" name="KSOTemplateDocerSaveRecord">
    <vt:lpwstr>eyJoZGlkIjoiZTI4NjkzNTUxOTAzNzllNTU5YjllODNhY2I2ODU3M2EiLCJ1c2VySWQiOiI0NTkwNDc5ODQifQ==</vt:lpwstr>
  </property>
</Properties>
</file>