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</w:p>
    <w:p>
      <w:pPr>
        <w:pStyle w:val="11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  <w:lang w:eastAsia="zh-CN"/>
        </w:rPr>
        <w:t>福田区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</w:rPr>
        <w:t>城市管理和综合执法局关于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  <w:lang w:eastAsia="zh-CN"/>
        </w:rPr>
        <w:t>深圳市福田区八届人大四次会议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</w:rPr>
        <w:t>代表建议</w:t>
      </w:r>
    </w:p>
    <w:p>
      <w:pPr>
        <w:pStyle w:val="11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</w:rPr>
        <w:t>第202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  <w:lang w:val="en-US" w:eastAsia="zh-CN"/>
        </w:rPr>
        <w:t>40035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</w:rPr>
        <w:t>号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  <w:lang w:eastAsia="zh-CN"/>
        </w:rPr>
        <w:t>的答复</w:t>
      </w:r>
    </w:p>
    <w:p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尊敬的王贤君等代表：</w:t>
      </w:r>
    </w:p>
    <w:p>
      <w:pPr>
        <w:pStyle w:val="1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您提出的《关于推进“三无小区”修缮维护，助力建设首善环境的</w:t>
      </w:r>
      <w:r>
        <w:rPr>
          <w:rFonts w:hint="eastAsia" w:ascii="仿宋_GB2312" w:hAnsi="仿宋_GB2312" w:eastAsia="仿宋_GB2312" w:cs="仿宋_GB2312"/>
          <w:sz w:val="32"/>
          <w:szCs w:val="32"/>
        </w:rPr>
        <w:t>建议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》已收悉，</w:t>
      </w:r>
      <w:r>
        <w:rPr>
          <w:rFonts w:hint="eastAsia" w:ascii="仿宋_GB2312" w:hAnsi="仿宋_GB2312" w:eastAsia="仿宋_GB2312" w:cs="仿宋_GB2312"/>
          <w:sz w:val="32"/>
          <w:szCs w:val="32"/>
        </w:rPr>
        <w:t>感谢您对我区城市管理工作的支持和关心</w:t>
      </w:r>
      <w:r>
        <w:rPr>
          <w:rFonts w:hint="eastAsia" w:hAnsi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我局高度重视</w:t>
      </w:r>
      <w:r>
        <w:rPr>
          <w:rFonts w:hint="eastAsia" w:hAnsi="仿宋_GB2312" w:cs="仿宋_GB2312"/>
          <w:kern w:val="0"/>
          <w:sz w:val="32"/>
          <w:szCs w:val="32"/>
          <w:lang w:val="en-US" w:eastAsia="zh-CN" w:bidi="ar-SA"/>
        </w:rPr>
        <w:t>“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三无小区</w:t>
      </w:r>
      <w:r>
        <w:rPr>
          <w:rFonts w:hint="eastAsia" w:hAnsi="仿宋_GB2312" w:cs="仿宋_GB2312"/>
          <w:kern w:val="0"/>
          <w:sz w:val="32"/>
          <w:szCs w:val="32"/>
          <w:lang w:val="en-US" w:eastAsia="zh-CN" w:bidi="ar-SA"/>
        </w:rPr>
        <w:t>”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修缮维护工作，2023年以来，联合住建局等部门及各街道，开展</w:t>
      </w:r>
      <w:r>
        <w:rPr>
          <w:rFonts w:hint="eastAsia" w:hAnsi="仿宋_GB2312" w:cs="仿宋_GB2312"/>
          <w:kern w:val="0"/>
          <w:sz w:val="32"/>
          <w:szCs w:val="32"/>
          <w:lang w:val="en-US" w:eastAsia="zh-CN" w:bidi="ar-SA"/>
        </w:rPr>
        <w:t>辖区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外立面刷新修复等工作，提升城区市容市貌品质</w:t>
      </w:r>
      <w:r>
        <w:rPr>
          <w:rFonts w:hint="eastAsia" w:hAnsi="仿宋_GB2312" w:cs="仿宋_GB2312"/>
          <w:kern w:val="0"/>
          <w:sz w:val="32"/>
          <w:szCs w:val="32"/>
          <w:lang w:val="en-US" w:eastAsia="zh-CN" w:bidi="ar-SA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现将办理情况答复如下：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一是制定专项</w:t>
      </w:r>
      <w:r>
        <w:rPr>
          <w:rFonts w:hint="eastAsia" w:ascii="仿宋" w:hAnsi="仿宋" w:eastAsia="仿宋"/>
          <w:b/>
          <w:bCs/>
          <w:sz w:val="32"/>
          <w:szCs w:val="32"/>
        </w:rPr>
        <w:t>整治工作方案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为建设和维护城区建筑物外立面容貌，我局依据《深圳市建筑物和公共设施清洗翻新管理规定》《深圳经济特区物业管理条例》等相关规定，制定了《福田区建筑物外立面脏污、破损整治工作方案》，明确了对老旧小区、“三无”小区大面积的脏污、破损，责任主体因经费不足等客观原因确实难以履行清洗翻新义务的，由街道办报区住建局纳入整治计划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pacing w:line="560" w:lineRule="exact"/>
        <w:ind w:firstLine="642" w:firstLineChars="2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二是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开展建筑物外立面专项整治工作。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为加强城市市容管理，提高人居环境质量，保持建筑物和公共设施外表整洁、美观和功能完好，我局严格按照市、区有关建筑物和公共设施清洗翻新的要求及工作部署，组织各街道办事处开展建筑物外立面脏污、破损整治专项工作，联合区住建局组织、指导各街道动态全量排查，建立问题分类整治清单，通过执法手段督促责任单位自行整改、兜底刷补、纳入改造提升等方式，分类分区域集中整治辖区创文样本框、主干道沿街等重点区域周边的建筑物外立面脏污、破损问题，助力建设首善环境。2023年，我局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共应急兜底</w:t>
      </w:r>
      <w:r>
        <w:rPr>
          <w:rFonts w:hint="eastAsia" w:ascii="仿宋" w:hAnsi="仿宋" w:eastAsia="仿宋"/>
          <w:sz w:val="32"/>
          <w:szCs w:val="32"/>
        </w:rPr>
        <w:t>清洗和</w:t>
      </w:r>
      <w:r>
        <w:rPr>
          <w:rFonts w:ascii="仿宋" w:hAnsi="仿宋" w:eastAsia="仿宋"/>
          <w:sz w:val="32"/>
          <w:szCs w:val="32"/>
        </w:rPr>
        <w:t>刷补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刷新点位37处，应急兜底清洗刷补面积约18601平方米，涉及高空作业的17处，面积约11000平方米。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60" w:lineRule="exact"/>
        <w:ind w:firstLine="642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三是加强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建筑物外立面脏污、破损问题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的执法力度，开展定期督导工作。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我局按照“督促主体履责优先，依法承担责任为基”的原则，指导各街道执法队加强执法检查，督促各相关责任主体履行职责。街道办依据《深圳市建筑物和公共设施清洗翻新管理规定》的相关规定，具体开展执法查处工作，约谈未定期清洗翻新建筑或者建筑物存在不洁的责任单位，以教育整改为主、行政处罚为辅，督促城中村、机关企事业单位、商厦等主体主动履行整改责任。区城管和综合执法局加强办案督导，重点对主干道、门户临街建筑物外立面存在严重影响市容观瞻的问题开展督查督办，督导街道执法队依法行政，严格执法。全区共开具责令限期改正通知书152份，处罚1宗，处罚金额3000元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60" w:lineRule="exact"/>
        <w:ind w:firstLine="642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b/>
          <w:bCs/>
          <w:sz w:val="32"/>
          <w:szCs w:val="32"/>
          <w:highlight w:val="none"/>
          <w:lang w:val="en-US" w:eastAsia="zh-CN"/>
        </w:rPr>
        <w:t>四是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联动审批，督促主体单位履责。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我局将外立面整治情况纳入户外广告审批一体化管理，组织对户外广告设施依附的建筑物外立面进行现场核查，将脏污破损问题的整改情况作为审核依据。今年以来共受理340宗户外广告招牌，经现场巡查发现28栋建筑及周边存在41处不同程度户外广告招牌设施破损等市容问题情况，已完成整改32处，已督促整改9处。其中涉及外立面脏污情况19处，完成整改16处，督促整改3处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下一步，我局按照职责分工，积极协助配合住建局、民政局等部门开展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外立面翻新、修缮维护工作，在财政许可、专项资金充裕的情况下，优先向“三无小区”倾斜，并建立长效机制，做好“三无小区”外立面刷新、修复等工作。同时，指导各街道执法队依据《深圳市建筑物和公共设施清洗翻新管理规定》，加强执法检查，督促各相关责任主体履行职责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再次感谢您对我区城市管理工作的关心和支持，恳请您继续对城市管理工作多提宝贵意见。</w:t>
      </w:r>
    </w:p>
    <w:p>
      <w:pPr>
        <w:pStyle w:val="3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default"/>
          <w:lang w:val="en-US" w:eastAsia="zh-CN"/>
        </w:rPr>
      </w:pPr>
    </w:p>
    <w:p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60" w:lineRule="exact"/>
        <w:jc w:val="both"/>
        <w:textAlignment w:val="auto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ind w:left="0" w:leftChars="0" w:right="0" w:rightChars="0" w:firstLine="640" w:firstLineChars="200"/>
        <w:jc w:val="right"/>
        <w:textAlignment w:val="auto"/>
        <w:outlineLvl w:val="9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深圳市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福田区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城市管理和综合执法局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ind w:right="0" w:rightChars="0"/>
        <w:jc w:val="center"/>
        <w:textAlignment w:val="auto"/>
        <w:outlineLvl w:val="9"/>
        <w:rPr>
          <w:rFonts w:ascii="Calibri" w:hAnsi="Calibri" w:eastAsia="宋体" w:cs="Times New Roman"/>
          <w:b w:val="0"/>
          <w:bCs w:val="0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（联系人：林润华，电话：83151008）</w:t>
      </w:r>
    </w:p>
    <w:p>
      <w:pPr>
        <w:widowControl/>
        <w:numPr>
          <w:ilvl w:val="0"/>
          <w:numId w:val="0"/>
        </w:numPr>
        <w:shd w:val="clear" w:color="auto" w:fill="auto"/>
        <w:tabs>
          <w:tab w:val="left" w:pos="0"/>
        </w:tabs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numPr>
          <w:ilvl w:val="0"/>
          <w:numId w:val="0"/>
        </w:numPr>
        <w:shd w:val="clear" w:color="auto" w:fill="auto"/>
        <w:tabs>
          <w:tab w:val="left" w:pos="0"/>
        </w:tabs>
        <w:ind w:firstLine="420" w:firstLineChars="200"/>
        <w:rPr>
          <w:rFonts w:hint="eastAsia" w:ascii="仿宋" w:hAnsi="仿宋" w:cs="仿宋"/>
          <w:color w:val="000000"/>
          <w:szCs w:val="28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  <w:r>
        <w:rPr>
          <w:rFonts w:hint="eastAsia" w:ascii="Calibri" w:eastAsia="宋体"/>
          <w:lang w:val="en-US" w:eastAsia="zh-CN"/>
        </w:rPr>
        <w:t xml:space="preserve">  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revisionView w:markup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EDA799"/>
    <w:rsid w:val="20D56E67"/>
    <w:rsid w:val="37AB3713"/>
    <w:rsid w:val="3BFB8EFA"/>
    <w:rsid w:val="3FEDA799"/>
    <w:rsid w:val="521B555E"/>
    <w:rsid w:val="EFF2CA0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4"/>
    <w:next w:val="1"/>
    <w:qFormat/>
    <w:uiPriority w:val="0"/>
    <w:pPr>
      <w:widowControl w:val="0"/>
      <w:jc w:val="both"/>
      <w:outlineLvl w:val="3"/>
    </w:pPr>
    <w:rPr>
      <w:rFonts w:ascii="华文仿宋" w:hAnsi="华文仿宋" w:eastAsia="宋体" w:cs="Times New Roman"/>
      <w:kern w:val="2"/>
      <w:sz w:val="21"/>
      <w:szCs w:val="72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widowControl w:val="0"/>
      <w:spacing w:line="360" w:lineRule="auto"/>
      <w:ind w:firstLine="420" w:firstLineChars="100"/>
      <w:jc w:val="center"/>
    </w:pPr>
    <w:rPr>
      <w:rFonts w:ascii="Calibri" w:hAnsi="Calibri" w:eastAsia="宋体" w:cs="Times New Roman"/>
      <w:kern w:val="2"/>
      <w:sz w:val="44"/>
      <w:szCs w:val="24"/>
      <w:lang w:val="en-US" w:eastAsia="zh-CN" w:bidi="ar-SA"/>
    </w:rPr>
  </w:style>
  <w:style w:type="paragraph" w:styleId="3">
    <w:name w:val="Body Text"/>
    <w:basedOn w:val="1"/>
    <w:next w:val="1"/>
    <w:qFormat/>
    <w:uiPriority w:val="0"/>
    <w:pPr>
      <w:widowControl w:val="0"/>
      <w:spacing w:line="540" w:lineRule="exact"/>
      <w:jc w:val="center"/>
    </w:pPr>
    <w:rPr>
      <w:rFonts w:ascii="宋体" w:hAnsi="Calibri" w:eastAsia="宋体" w:cs="Times New Roman"/>
      <w:b/>
      <w:bCs/>
      <w:kern w:val="2"/>
      <w:sz w:val="44"/>
      <w:szCs w:val="22"/>
      <w:lang w:val="en-US" w:eastAsia="zh-CN" w:bidi="ar-SA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page number"/>
    <w:basedOn w:val="9"/>
    <w:qFormat/>
    <w:uiPriority w:val="0"/>
  </w:style>
  <w:style w:type="paragraph" w:customStyle="1" w:styleId="11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12">
    <w:name w:val="p17"/>
    <w:basedOn w:val="1"/>
    <w:qFormat/>
    <w:uiPriority w:val="0"/>
    <w:pPr>
      <w:widowControl/>
      <w:ind w:firstLine="630"/>
    </w:pPr>
    <w:rPr>
      <w:rFonts w:ascii="仿宋_GB2312" w:hAnsi="宋体" w:eastAsia="仿宋_GB2312" w:cs="宋体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Office_11.8.2.11851_F1E327BC-269C-435d-A152-05C5408002CA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2024-06-01T08:25:00Z</dcterms:created>
  <dc:creator>莫陆检</dc:creator>
  <cp:lastModifiedBy>周琪</cp:lastModifiedBy>
  <cp:lastPrinted>2024-06-14T22:11:00Z</cp:lastPrinted>
  <dcterms:modified xsi:type="dcterms:W3CDTF">2024-06-18T17:51:20Z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2052-11.8.2.11851</vt:lpwstr>
  </property>
  <property fmtid="{D5CDD505-2E9C-101B-9397-08002B2CF9AE}" pid="3" name="ICV">
    <vt:lpwstr>A169CD6FB06FEEB06A8959664A2CE613</vt:lpwstr>
  </property>
</Properties>
</file>