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left="0" w:leftChars="0" w:right="0" w:rightChars="0"/>
        <w:jc w:val="center"/>
        <w:textAlignment w:val="auto"/>
        <w:outlineLvl w:val="9"/>
        <w:rPr>
          <w:rFonts w:hint="eastAsia" w:ascii="方正小标宋简体" w:hAnsi="方正小标宋简体" w:eastAsia="方正小标宋简体" w:cs="方正小标宋简体"/>
          <w:spacing w:val="-6"/>
          <w:sz w:val="44"/>
          <w:szCs w:val="44"/>
        </w:rPr>
      </w:pPr>
    </w:p>
    <w:p>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left="0" w:leftChars="0" w:right="0" w:rightChars="0"/>
        <w:jc w:val="center"/>
        <w:textAlignment w:val="auto"/>
        <w:outlineLvl w:val="9"/>
        <w:rPr>
          <w:rFonts w:hint="eastAsia" w:ascii="方正小标宋简体" w:hAnsi="方正小标宋简体" w:eastAsia="方正小标宋简体" w:cs="方正小标宋简体"/>
          <w:spacing w:val="-6"/>
          <w:sz w:val="44"/>
          <w:szCs w:val="44"/>
          <w:lang w:eastAsia="zh-CN"/>
        </w:rPr>
      </w:pPr>
      <w:r>
        <w:rPr>
          <w:rFonts w:hint="eastAsia" w:ascii="方正小标宋简体" w:hAnsi="方正小标宋简体" w:eastAsia="方正小标宋简体" w:cs="方正小标宋简体"/>
          <w:spacing w:val="-6"/>
          <w:sz w:val="44"/>
          <w:szCs w:val="44"/>
        </w:rPr>
        <w:t>福田区</w:t>
      </w:r>
      <w:r>
        <w:rPr>
          <w:rFonts w:hint="eastAsia" w:ascii="方正小标宋简体" w:hAnsi="方正小标宋简体" w:eastAsia="方正小标宋简体" w:cs="方正小标宋简体"/>
          <w:spacing w:val="-6"/>
          <w:sz w:val="44"/>
          <w:szCs w:val="44"/>
          <w:lang w:eastAsia="zh-CN"/>
        </w:rPr>
        <w:t>城市管理和综合执法局关于深圳市</w:t>
      </w:r>
    </w:p>
    <w:p>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left="0" w:leftChars="0" w:right="0" w:rightChars="0"/>
        <w:jc w:val="center"/>
        <w:textAlignment w:val="auto"/>
        <w:outlineLvl w:val="9"/>
        <w:rPr>
          <w:rFonts w:hint="eastAsia" w:ascii="方正小标宋简体" w:hAnsi="方正小标宋简体" w:eastAsia="方正小标宋简体" w:cs="方正小标宋简体"/>
          <w:spacing w:val="-6"/>
          <w:sz w:val="44"/>
          <w:szCs w:val="44"/>
        </w:rPr>
      </w:pPr>
      <w:r>
        <w:rPr>
          <w:rFonts w:hint="eastAsia" w:ascii="方正小标宋简体" w:hAnsi="方正小标宋简体" w:eastAsia="方正小标宋简体" w:cs="方正小标宋简体"/>
          <w:spacing w:val="-6"/>
          <w:sz w:val="44"/>
          <w:szCs w:val="44"/>
          <w:lang w:eastAsia="zh-CN"/>
        </w:rPr>
        <w:t>福田区第八</w:t>
      </w:r>
      <w:r>
        <w:rPr>
          <w:rFonts w:hint="eastAsia" w:ascii="方正小标宋简体" w:hAnsi="方正小标宋简体" w:eastAsia="方正小标宋简体" w:cs="方正小标宋简体"/>
          <w:spacing w:val="-6"/>
          <w:sz w:val="44"/>
          <w:szCs w:val="44"/>
        </w:rPr>
        <w:t>届</w:t>
      </w:r>
      <w:r>
        <w:rPr>
          <w:rFonts w:hint="eastAsia" w:ascii="方正小标宋简体" w:hAnsi="方正小标宋简体" w:eastAsia="方正小标宋简体" w:cs="方正小标宋简体"/>
          <w:spacing w:val="-6"/>
          <w:sz w:val="44"/>
          <w:szCs w:val="44"/>
          <w:lang w:eastAsia="zh-CN"/>
        </w:rPr>
        <w:t>人民代表大会第四</w:t>
      </w:r>
      <w:r>
        <w:rPr>
          <w:rFonts w:hint="eastAsia" w:ascii="方正小标宋简体" w:hAnsi="方正小标宋简体" w:eastAsia="方正小标宋简体" w:cs="方正小标宋简体"/>
          <w:spacing w:val="-6"/>
          <w:sz w:val="44"/>
          <w:szCs w:val="44"/>
        </w:rPr>
        <w:t>次会议</w:t>
      </w:r>
    </w:p>
    <w:p>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left="0" w:leftChars="0" w:right="0" w:rightChars="0"/>
        <w:jc w:val="center"/>
        <w:textAlignment w:val="auto"/>
        <w:outlineLvl w:val="9"/>
        <w:rPr>
          <w:rFonts w:hint="eastAsia" w:ascii="方正小标宋简体" w:hAnsi="方正小标宋简体" w:eastAsia="方正小标宋简体" w:cs="方正小标宋简体"/>
          <w:spacing w:val="-6"/>
          <w:sz w:val="44"/>
          <w:szCs w:val="44"/>
          <w:lang w:eastAsia="zh-CN"/>
        </w:rPr>
      </w:pPr>
      <w:r>
        <w:rPr>
          <w:rFonts w:hint="eastAsia" w:ascii="方正小标宋简体" w:hAnsi="方正小标宋简体" w:eastAsia="方正小标宋简体" w:cs="方正小标宋简体"/>
          <w:spacing w:val="-6"/>
          <w:sz w:val="44"/>
          <w:szCs w:val="44"/>
          <w:lang w:eastAsia="zh-CN"/>
        </w:rPr>
        <w:t>代表建议</w:t>
      </w:r>
      <w:r>
        <w:rPr>
          <w:rFonts w:hint="eastAsia" w:ascii="方正小标宋简体" w:hAnsi="方正小标宋简体" w:eastAsia="方正小标宋简体" w:cs="方正小标宋简体"/>
          <w:spacing w:val="-6"/>
          <w:sz w:val="44"/>
          <w:szCs w:val="44"/>
        </w:rPr>
        <w:t>第</w:t>
      </w:r>
      <w:r>
        <w:rPr>
          <w:rFonts w:hint="eastAsia" w:ascii="方正小标宋_GBK" w:hAnsi="方正小标宋_GBK" w:eastAsia="方正小标宋_GBK" w:cs="方正小标宋_GBK"/>
          <w:sz w:val="44"/>
          <w:szCs w:val="44"/>
        </w:rPr>
        <w:t>202</w:t>
      </w:r>
      <w:r>
        <w:rPr>
          <w:rFonts w:hint="eastAsia" w:ascii="方正小标宋_GBK" w:hAnsi="方正小标宋_GBK" w:eastAsia="方正小标宋_GBK" w:cs="方正小标宋_GBK"/>
          <w:sz w:val="44"/>
          <w:szCs w:val="44"/>
          <w:lang w:val="en-US" w:eastAsia="zh-CN"/>
        </w:rPr>
        <w:t>4</w:t>
      </w:r>
      <w:r>
        <w:rPr>
          <w:rFonts w:hint="default" w:ascii="方正小标宋_GBK" w:hAnsi="方正小标宋_GBK" w:eastAsia="方正小标宋_GBK" w:cs="方正小标宋_GBK"/>
          <w:sz w:val="44"/>
          <w:szCs w:val="44"/>
          <w:lang w:val="en-US"/>
        </w:rPr>
        <w:t>0</w:t>
      </w:r>
      <w:r>
        <w:rPr>
          <w:rFonts w:hint="eastAsia" w:ascii="方正小标宋_GBK" w:hAnsi="方正小标宋_GBK" w:eastAsia="方正小标宋_GBK" w:cs="方正小标宋_GBK"/>
          <w:sz w:val="44"/>
          <w:szCs w:val="44"/>
          <w:lang w:val="en-US" w:eastAsia="zh-CN"/>
        </w:rPr>
        <w:t>044</w:t>
      </w:r>
      <w:r>
        <w:rPr>
          <w:rFonts w:hint="eastAsia" w:ascii="方正小标宋简体" w:hAnsi="方正小标宋简体" w:eastAsia="方正小标宋简体" w:cs="方正小标宋简体"/>
          <w:spacing w:val="-6"/>
          <w:sz w:val="44"/>
          <w:szCs w:val="44"/>
        </w:rPr>
        <w:t>号</w:t>
      </w:r>
      <w:r>
        <w:rPr>
          <w:rFonts w:hint="eastAsia" w:ascii="方正小标宋简体" w:hAnsi="方正小标宋简体" w:eastAsia="方正小标宋简体" w:cs="方正小标宋简体"/>
          <w:spacing w:val="-6"/>
          <w:sz w:val="44"/>
          <w:szCs w:val="44"/>
          <w:lang w:eastAsia="zh-CN"/>
        </w:rPr>
        <w:t>的答复</w:t>
      </w:r>
    </w:p>
    <w:p>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left="0" w:leftChars="0" w:right="0" w:rightChars="0"/>
        <w:jc w:val="left"/>
        <w:textAlignment w:val="auto"/>
        <w:outlineLvl w:val="9"/>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left="0" w:leftChars="0" w:right="0" w:rightChars="0"/>
        <w:jc w:val="left"/>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尊敬的</w:t>
      </w:r>
      <w:bookmarkStart w:id="0" w:name="_GoBack"/>
      <w:r>
        <w:rPr>
          <w:rFonts w:hint="eastAsia" w:ascii="仿宋_GB2312" w:hAnsi="仿宋_GB2312" w:eastAsia="仿宋_GB2312" w:cs="仿宋_GB2312"/>
          <w:sz w:val="32"/>
          <w:szCs w:val="32"/>
          <w:lang w:val="en-US" w:eastAsia="zh-CN"/>
        </w:rPr>
        <w:t>庄叶辉(等)代表</w:t>
      </w:r>
      <w:bookmarkEnd w:id="0"/>
      <w:r>
        <w:rPr>
          <w:rFonts w:hint="eastAsia" w:ascii="仿宋_GB2312" w:hAnsi="仿宋_GB2312" w:eastAsia="仿宋_GB2312" w:cs="仿宋_GB2312"/>
          <w:sz w:val="32"/>
          <w:szCs w:val="32"/>
          <w:lang w:val="en-US" w:eastAsia="zh-CN"/>
        </w:rPr>
        <w:t>：</w:t>
      </w:r>
    </w:p>
    <w:p>
      <w:pPr>
        <w:widowControl/>
        <w:spacing w:line="540" w:lineRule="exact"/>
        <w:ind w:firstLine="63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您提出的《</w:t>
      </w:r>
      <w:r>
        <w:rPr>
          <w:rFonts w:hint="eastAsia" w:ascii="仿宋_GB2312" w:hAnsi="仿宋_GB2312" w:eastAsia="仿宋_GB2312" w:cs="仿宋_GB2312"/>
          <w:sz w:val="32"/>
          <w:szCs w:val="32"/>
          <w:lang w:eastAsia="zh-CN"/>
        </w:rPr>
        <w:t>关于有序开放皇岗村个体商户外摆，促进夜市经济发展的建议</w:t>
      </w:r>
      <w:r>
        <w:rPr>
          <w:rFonts w:hint="eastAsia" w:ascii="仿宋_GB2312" w:hAnsi="仿宋_GB2312" w:eastAsia="仿宋_GB2312" w:cs="仿宋_GB2312"/>
          <w:sz w:val="32"/>
          <w:szCs w:val="32"/>
          <w:lang w:val="en-US" w:eastAsia="zh-CN"/>
        </w:rPr>
        <w:t>》(第2024</w:t>
      </w:r>
      <w:r>
        <w:rPr>
          <w:rFonts w:hint="default"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lang w:val="en-US" w:eastAsia="zh-CN"/>
        </w:rPr>
        <w:t>044号）已收悉。</w:t>
      </w:r>
      <w:r>
        <w:rPr>
          <w:rFonts w:hint="eastAsia" w:ascii="仿宋_GB2312" w:hAnsi="仿宋_GB2312" w:eastAsia="仿宋_GB2312" w:cs="仿宋_GB2312"/>
          <w:kern w:val="0"/>
          <w:sz w:val="32"/>
          <w:szCs w:val="32"/>
        </w:rPr>
        <w:t>感谢您对我区城市管理工作的支持和关心，现将办理情况答复如下</w:t>
      </w:r>
      <w:r>
        <w:rPr>
          <w:rFonts w:hint="eastAsia" w:ascii="仿宋_GB2312" w:hAnsi="仿宋_GB2312" w:eastAsia="仿宋_GB2312" w:cs="仿宋_GB2312"/>
          <w:kern w:val="0"/>
          <w:sz w:val="32"/>
          <w:szCs w:val="32"/>
          <w:lang w:val="en-US" w:eastAsia="zh-CN"/>
        </w:rPr>
        <w:t>：</w:t>
      </w:r>
    </w:p>
    <w:p>
      <w:pPr>
        <w:keepNext w:val="0"/>
        <w:keepLines w:val="0"/>
        <w:pageBreakBefore w:val="0"/>
        <w:widowControl/>
        <w:numPr>
          <w:ilvl w:val="0"/>
          <w:numId w:val="1"/>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pos="0"/>
        </w:tabs>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关于“尽快深入基层调研，出台标准化的‘摆摊’细则和指引”建议的办理情况</w:t>
      </w:r>
    </w:p>
    <w:p>
      <w:pPr>
        <w:keepNext w:val="0"/>
        <w:keepLines w:val="0"/>
        <w:pageBreakBefore w:val="0"/>
        <w:widowControl/>
        <w:numPr>
          <w:ilvl w:val="0"/>
          <w:numId w:val="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pos="0"/>
        </w:tabs>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结合福田区实际情况，</w:t>
      </w:r>
      <w:r>
        <w:rPr>
          <w:rFonts w:hint="eastAsia" w:ascii="仿宋_GB2312" w:hAnsi="仿宋_GB2312" w:eastAsia="仿宋_GB2312" w:cs="仿宋_GB2312"/>
          <w:sz w:val="32"/>
          <w:szCs w:val="32"/>
          <w:lang w:eastAsia="zh-CN"/>
        </w:rPr>
        <w:t>我局</w:t>
      </w:r>
      <w:r>
        <w:rPr>
          <w:rFonts w:hint="eastAsia" w:ascii="仿宋_GB2312" w:hAnsi="仿宋_GB2312" w:eastAsia="仿宋_GB2312" w:cs="仿宋_GB2312"/>
          <w:sz w:val="32"/>
          <w:szCs w:val="32"/>
        </w:rPr>
        <w:t>联合街道执法队多次进行实地调研、会议研讨</w:t>
      </w:r>
      <w:r>
        <w:rPr>
          <w:rFonts w:hint="eastAsia" w:ascii="仿宋_GB2312" w:hAnsi="仿宋_GB2312" w:eastAsia="仿宋_GB2312" w:cs="仿宋_GB2312"/>
          <w:sz w:val="32"/>
          <w:szCs w:val="32"/>
          <w:lang w:eastAsia="zh-CN"/>
        </w:rPr>
        <w:t>，已形成关于商场、门店外摆和摊贩经营管理初步意见，就辖区内门店外摆和摊贩经营活动的申请设置流程、经营业态、经营时间、管理主体责任、经营者责任、考核退出机制等相关内容提出了要求，目前正在辖区内有序开展试点工作，并确保在维护市容整洁、保障交通通畅和安全的前提下，加大对门店外摆和设摊经营活动的支持力度。后续我局将持续修改完善相关管理措施和实施细则，助力激发市场活力，营造良好消费氛围。</w:t>
      </w:r>
    </w:p>
    <w:p>
      <w:pPr>
        <w:keepNext w:val="0"/>
        <w:keepLines w:val="0"/>
        <w:pageBreakBefore w:val="0"/>
        <w:widowControl/>
        <w:numPr>
          <w:ilvl w:val="0"/>
          <w:numId w:val="1"/>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pos="0"/>
        </w:tabs>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关于“做好政策协调和宣传工作，充分体现执政为民的理念”建议的办理情况</w:t>
      </w:r>
    </w:p>
    <w:p>
      <w:pPr>
        <w:keepNext w:val="0"/>
        <w:keepLines w:val="0"/>
        <w:pageBreakBefore w:val="0"/>
        <w:numPr>
          <w:ilvl w:val="0"/>
          <w:numId w:val="0"/>
        </w:numPr>
        <w:shd w:val="clear" w:color="auto" w:fill="auto"/>
        <w:tabs>
          <w:tab w:val="left" w:pos="0"/>
        </w:tabs>
        <w:kinsoku/>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sz w:val="32"/>
          <w:szCs w:val="32"/>
          <w:lang w:val="en-US" w:eastAsia="zh-CN"/>
        </w:rPr>
      </w:pPr>
    </w:p>
    <w:p>
      <w:pPr>
        <w:pStyle w:val="7"/>
        <w:keepNext w:val="0"/>
        <w:keepLines w:val="0"/>
        <w:pageBreakBefore w:val="0"/>
        <w:widowControl w:val="0"/>
        <w:numPr>
          <w:ilvl w:val="0"/>
          <w:numId w:val="0"/>
        </w:numPr>
        <w:kinsoku/>
        <w:wordWrap/>
        <w:overflowPunct/>
        <w:topLinePunct w:val="0"/>
        <w:autoSpaceDE/>
        <w:autoSpaceDN/>
        <w:bidi w:val="0"/>
        <w:adjustRightInd/>
        <w:snapToGrid/>
        <w:spacing w:beforeLines="0" w:afterLines="0"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为做好政策协调与新修订的《深圳经济特区市容和环境卫生管理条例》（以下简称《条例》）的宣贯工作，引导社会公众准确理解“开放摆摊”的内容，提升基层人员执法水平，避免引发基层矛盾风险，体现执法温度和人文关怀，我区持续开展政策宣传等活动，</w:t>
      </w:r>
      <w:r>
        <w:rPr>
          <w:rStyle w:val="6"/>
          <w:rFonts w:hint="eastAsia" w:ascii="仿宋_GB2312" w:hAnsi="仿宋_GB2312" w:eastAsia="仿宋_GB2312" w:cs="仿宋_GB2312"/>
          <w:color w:val="000000"/>
          <w:sz w:val="32"/>
          <w:szCs w:val="32"/>
          <w:lang w:val="en-US" w:eastAsia="zh-CN"/>
        </w:rPr>
        <w:t>组织辖区各街道举行进公园、进社区、进商圈、进企业、进网络等系列普法宣传活动，为群众答疑解惑，引导社会公众</w:t>
      </w:r>
      <w:r>
        <w:rPr>
          <w:rFonts w:hint="eastAsia" w:ascii="仿宋_GB2312" w:hAnsi="仿宋_GB2312" w:eastAsia="仿宋_GB2312" w:cs="仿宋_GB2312"/>
          <w:sz w:val="32"/>
          <w:szCs w:val="32"/>
          <w:lang w:eastAsia="zh-CN"/>
        </w:rPr>
        <w:t>全面准确解读市容条例等规章制度。同时我区日常执法以柔性劝导为主，向群众讲清政策要求和管理实际，不断促进地摊、外摆经济的有序发展。</w:t>
      </w:r>
    </w:p>
    <w:p>
      <w:pPr>
        <w:pStyle w:val="3"/>
        <w:keepNext w:val="0"/>
        <w:keepLines w:val="0"/>
        <w:pageBreakBefore w:val="0"/>
        <w:kinsoku/>
        <w:overflowPunct/>
        <w:topLinePunct w:val="0"/>
        <w:autoSpaceDE/>
        <w:autoSpaceDN/>
        <w:bidi w:val="0"/>
        <w:adjustRightInd/>
        <w:spacing w:line="560" w:lineRule="exact"/>
        <w:textAlignment w:val="auto"/>
        <w:rPr>
          <w:rFonts w:hint="default" w:ascii="黑体" w:hAnsi="黑体" w:eastAsia="黑体" w:cs="黑体"/>
          <w:b w:val="0"/>
          <w:bCs w:val="0"/>
          <w:kern w:val="2"/>
          <w:sz w:val="32"/>
          <w:szCs w:val="32"/>
          <w:lang w:val="en-US" w:eastAsia="zh-CN" w:bidi="ar-SA"/>
        </w:rPr>
      </w:pPr>
      <w:r>
        <w:rPr>
          <w:rFonts w:hint="eastAsia" w:ascii="仿宋_GB2312" w:hAnsi="仿宋_GB2312" w:eastAsia="仿宋_GB2312" w:cs="仿宋_GB2312"/>
          <w:sz w:val="32"/>
          <w:szCs w:val="32"/>
          <w:lang w:val="en-US" w:eastAsia="zh-CN"/>
        </w:rPr>
        <w:t xml:space="preserve">   </w:t>
      </w:r>
      <w:r>
        <w:rPr>
          <w:rFonts w:hint="eastAsia" w:ascii="黑体" w:hAnsi="黑体" w:eastAsia="黑体" w:cs="黑体"/>
          <w:b w:val="0"/>
          <w:bCs w:val="0"/>
          <w:kern w:val="2"/>
          <w:sz w:val="32"/>
          <w:szCs w:val="32"/>
          <w:lang w:val="en-US" w:eastAsia="zh-CN" w:bidi="ar-SA"/>
        </w:rPr>
        <w:t xml:space="preserve"> 三、关于“提供更多灵活的开放政策，满足个体工商户和消费者多元化需求”建议的办理情况</w:t>
      </w:r>
    </w:p>
    <w:p>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560" w:lineRule="exact"/>
        <w:ind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sz w:val="32"/>
          <w:szCs w:val="32"/>
          <w:lang w:val="en-US" w:eastAsia="zh-CN"/>
        </w:rPr>
        <w:t>为满足</w:t>
      </w:r>
      <w:r>
        <w:rPr>
          <w:rFonts w:hint="eastAsia" w:ascii="仿宋_GB2312" w:hAnsi="仿宋_GB2312" w:eastAsia="仿宋_GB2312" w:cs="仿宋_GB2312"/>
          <w:b w:val="0"/>
          <w:bCs w:val="0"/>
          <w:sz w:val="32"/>
          <w:szCs w:val="32"/>
          <w:lang w:val="en-US" w:eastAsia="zh-CN"/>
        </w:rPr>
        <w:t>个体工商户和消费者多元化需求，我区</w:t>
      </w:r>
      <w:r>
        <w:rPr>
          <w:rFonts w:hint="eastAsia" w:ascii="仿宋_GB2312" w:hAnsi="仿宋_GB2312" w:eastAsia="仿宋_GB2312" w:cs="仿宋_GB2312"/>
          <w:sz w:val="32"/>
          <w:szCs w:val="32"/>
          <w:lang w:val="en-US" w:eastAsia="zh-CN"/>
        </w:rPr>
        <w:t>加大对夜间经济的扶持力度，</w:t>
      </w:r>
      <w:r>
        <w:rPr>
          <w:rFonts w:hint="eastAsia" w:ascii="仿宋_GB2312" w:hAnsi="仿宋_GB2312" w:eastAsia="仿宋_GB2312" w:cs="仿宋_GB2312"/>
          <w:kern w:val="0"/>
          <w:sz w:val="32"/>
          <w:szCs w:val="32"/>
          <w:lang w:eastAsia="zh-CN"/>
        </w:rPr>
        <w:t>从制度设计上尽可能在保障城市安全有序、交通顺畅、无油烟噪音污染的前提下，</w:t>
      </w:r>
      <w:r>
        <w:rPr>
          <w:rFonts w:hint="eastAsia" w:ascii="仿宋_GB2312" w:hAnsi="仿宋_GB2312" w:eastAsia="仿宋_GB2312" w:cs="仿宋_GB2312"/>
          <w:kern w:val="2"/>
          <w:sz w:val="32"/>
          <w:szCs w:val="32"/>
          <w:lang w:val="en-US" w:eastAsia="zh-CN" w:bidi="ar-SA"/>
        </w:rPr>
        <w:t>指导街道办事处按“方便群众、布局合理、监管有序”的原则选取合适点位，充分考虑周边经营业态、居民需求、交通秩序、环境噪音等因素，在商圈、商业综合体、产业园区以及其他物业管理规范有序的用地红线内先行开展试点工作，按成熟一个、推进一个的基本思路，稳步推进相关工作。</w:t>
      </w:r>
    </w:p>
    <w:p>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560" w:lineRule="exact"/>
        <w:ind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目前皇岗村周边已有两处摊贩场所取得街道备案，经营轻食餐饮和文化创意内容。我局将持续指导街道通过陆续开放外摆、增加路边摊、延长夜市经营时间等措施，配合皇岗村做好“周末潮汐经济”，有序开放皇岗村个体商户外摆，促进夜市经济发展。</w:t>
      </w:r>
    </w:p>
    <w:p>
      <w:pPr>
        <w:keepNext w:val="0"/>
        <w:keepLines w:val="0"/>
        <w:pageBreakBefore w:val="0"/>
        <w:widowControl/>
        <w:kinsoku/>
        <w:wordWrap/>
        <w:overflowPunct/>
        <w:topLinePunct w:val="0"/>
        <w:autoSpaceDE/>
        <w:autoSpaceDN/>
        <w:bidi w:val="0"/>
        <w:adjustRightInd/>
        <w:snapToGrid/>
        <w:spacing w:line="560" w:lineRule="exact"/>
        <w:ind w:firstLine="629"/>
        <w:jc w:val="both"/>
        <w:textAlignment w:val="auto"/>
        <w:rPr>
          <w:rFonts w:hint="eastAsia" w:ascii="仿宋_GB2312" w:hAnsi="Times New Roman" w:eastAsia="仿宋_GB2312" w:cs="Times New Roman"/>
          <w:kern w:val="0"/>
          <w:sz w:val="32"/>
          <w:szCs w:val="32"/>
          <w:lang w:val="en-US" w:eastAsia="zh-CN" w:bidi="ar-SA"/>
        </w:rPr>
      </w:pPr>
      <w:r>
        <w:rPr>
          <w:rFonts w:hint="eastAsia" w:ascii="仿宋_GB2312" w:hAnsi="仿宋_GB2312" w:eastAsia="仿宋_GB2312" w:cs="仿宋_GB2312"/>
          <w:kern w:val="0"/>
          <w:sz w:val="32"/>
          <w:szCs w:val="32"/>
          <w:lang w:val="en-US" w:eastAsia="zh-CN" w:bidi="ar-SA"/>
        </w:rPr>
        <w:t>再次感谢您对我区城市管理工作的关心和支持，恳请您继续对城市管理工作多提宝贵意见。</w:t>
      </w:r>
    </w:p>
    <w:p>
      <w:pPr>
        <w:pStyle w:val="4"/>
        <w:keepNext w:val="0"/>
        <w:keepLines w:val="0"/>
        <w:pageBreakBefore w:val="0"/>
        <w:widowControl w:val="0"/>
        <w:kinsoku/>
        <w:overflowPunct/>
        <w:topLinePunct w:val="0"/>
        <w:autoSpaceDE/>
        <w:autoSpaceDN/>
        <w:bidi w:val="0"/>
        <w:adjustRightInd/>
        <w:spacing w:line="560" w:lineRule="exact"/>
        <w:ind w:left="0" w:leftChars="0" w:firstLine="0" w:firstLineChars="0"/>
        <w:jc w:val="both"/>
        <w:textAlignment w:val="auto"/>
        <w:rPr>
          <w:rFonts w:hint="eastAsia"/>
          <w:b w:val="0"/>
          <w:bCs w:val="0"/>
          <w:lang w:eastAsia="zh-CN"/>
        </w:rPr>
      </w:pPr>
    </w:p>
    <w:p>
      <w:pPr>
        <w:rPr>
          <w:rFonts w:hint="eastAsia"/>
          <w:b w:val="0"/>
          <w:bCs w:val="0"/>
          <w:lang w:eastAsia="zh-CN"/>
        </w:rPr>
      </w:pPr>
    </w:p>
    <w:p>
      <w:pPr>
        <w:pStyle w:val="2"/>
        <w:rPr>
          <w:rFonts w:hint="eastAsia"/>
          <w:lang w:eastAsia="zh-CN"/>
        </w:rPr>
      </w:pPr>
    </w:p>
    <w:p>
      <w:pPr>
        <w:keepNext w:val="0"/>
        <w:keepLines w:val="0"/>
        <w:pageBreakBefore w:val="0"/>
        <w:widowControl w:val="0"/>
        <w:kinsoku/>
        <w:wordWrap w:val="0"/>
        <w:overflowPunct/>
        <w:topLinePunct w:val="0"/>
        <w:autoSpaceDE/>
        <w:autoSpaceDN/>
        <w:bidi w:val="0"/>
        <w:adjustRightInd/>
        <w:snapToGrid w:val="0"/>
        <w:spacing w:beforeAutospacing="0" w:afterAutospacing="0" w:line="560" w:lineRule="exact"/>
        <w:ind w:left="0" w:leftChars="0" w:right="0" w:rightChars="0" w:firstLine="640" w:firstLineChars="200"/>
        <w:jc w:val="right"/>
        <w:textAlignment w:val="auto"/>
        <w:outlineLvl w:val="9"/>
        <w:rPr>
          <w:rFonts w:hint="default" w:ascii="仿宋_GB2312" w:hAnsi="仿宋_GB2312" w:eastAsia="仿宋_GB2312" w:cs="仿宋_GB2312"/>
          <w:b w:val="0"/>
          <w:bCs w:val="0"/>
          <w:sz w:val="32"/>
          <w:szCs w:val="32"/>
          <w:lang w:val="en-US"/>
        </w:rPr>
      </w:pPr>
      <w:r>
        <w:rPr>
          <w:rFonts w:hint="eastAsia" w:ascii="仿宋_GB2312" w:hAnsi="仿宋_GB2312" w:eastAsia="仿宋_GB2312" w:cs="仿宋_GB2312"/>
          <w:b w:val="0"/>
          <w:bCs w:val="0"/>
          <w:sz w:val="32"/>
          <w:szCs w:val="32"/>
          <w:lang w:val="en-US" w:eastAsia="zh-CN"/>
        </w:rPr>
        <w:t xml:space="preserve">          深圳市</w:t>
      </w:r>
      <w:r>
        <w:rPr>
          <w:rFonts w:hint="eastAsia" w:ascii="仿宋_GB2312" w:hAnsi="仿宋_GB2312" w:eastAsia="仿宋_GB2312" w:cs="仿宋_GB2312"/>
          <w:b w:val="0"/>
          <w:bCs w:val="0"/>
          <w:sz w:val="32"/>
          <w:szCs w:val="32"/>
        </w:rPr>
        <w:t>福田区</w:t>
      </w:r>
      <w:r>
        <w:rPr>
          <w:rFonts w:hint="eastAsia" w:ascii="仿宋_GB2312" w:hAnsi="仿宋_GB2312" w:eastAsia="仿宋_GB2312" w:cs="仿宋_GB2312"/>
          <w:b w:val="0"/>
          <w:bCs w:val="0"/>
          <w:sz w:val="32"/>
          <w:szCs w:val="32"/>
          <w:lang w:eastAsia="zh-CN"/>
        </w:rPr>
        <w:t>城市管理和综合执法局</w:t>
      </w:r>
      <w:r>
        <w:rPr>
          <w:rFonts w:hint="eastAsia" w:ascii="仿宋_GB2312" w:hAnsi="仿宋_GB2312" w:eastAsia="仿宋_GB2312" w:cs="仿宋_GB2312"/>
          <w:b w:val="0"/>
          <w:bCs w:val="0"/>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left="0" w:leftChars="0" w:right="0" w:rightChars="0" w:firstLine="640" w:firstLineChars="200"/>
        <w:jc w:val="both"/>
        <w:textAlignment w:val="auto"/>
        <w:outlineLvl w:val="9"/>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sz w:val="32"/>
          <w:szCs w:val="32"/>
        </w:rPr>
        <w:t xml:space="preserve"> </w:t>
      </w: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rPr>
        <w:t>20</w:t>
      </w:r>
      <w:r>
        <w:rPr>
          <w:rFonts w:hint="eastAsia" w:ascii="仿宋_GB2312" w:hAnsi="仿宋_GB2312" w:eastAsia="仿宋_GB2312" w:cs="仿宋_GB2312"/>
          <w:b w:val="0"/>
          <w:bCs w:val="0"/>
          <w:sz w:val="32"/>
          <w:szCs w:val="32"/>
          <w:lang w:val="en-US" w:eastAsia="zh-CN"/>
        </w:rPr>
        <w:t>24</w:t>
      </w:r>
      <w:r>
        <w:rPr>
          <w:rFonts w:hint="eastAsia" w:ascii="仿宋_GB2312" w:hAnsi="仿宋_GB2312" w:eastAsia="仿宋_GB2312" w:cs="仿宋_GB2312"/>
          <w:b w:val="0"/>
          <w:bCs w:val="0"/>
          <w:sz w:val="32"/>
          <w:szCs w:val="32"/>
        </w:rPr>
        <w:t>年</w:t>
      </w:r>
      <w:r>
        <w:rPr>
          <w:rFonts w:hint="eastAsia" w:ascii="仿宋_GB2312" w:hAnsi="仿宋_GB2312" w:eastAsia="仿宋_GB2312" w:cs="仿宋_GB2312"/>
          <w:b w:val="0"/>
          <w:bCs w:val="0"/>
          <w:sz w:val="32"/>
          <w:szCs w:val="32"/>
          <w:lang w:val="en-US" w:eastAsia="zh-CN"/>
        </w:rPr>
        <w:t>5</w:t>
      </w:r>
      <w:r>
        <w:rPr>
          <w:rFonts w:hint="eastAsia" w:ascii="仿宋_GB2312" w:hAnsi="仿宋_GB2312" w:eastAsia="仿宋_GB2312" w:cs="仿宋_GB2312"/>
          <w:b w:val="0"/>
          <w:bCs w:val="0"/>
          <w:sz w:val="32"/>
          <w:szCs w:val="32"/>
        </w:rPr>
        <w:t>月</w:t>
      </w:r>
      <w:r>
        <w:rPr>
          <w:rFonts w:hint="eastAsia" w:ascii="仿宋_GB2312" w:hAnsi="仿宋_GB2312" w:eastAsia="仿宋_GB2312" w:cs="仿宋_GB2312"/>
          <w:b w:val="0"/>
          <w:bCs w:val="0"/>
          <w:sz w:val="32"/>
          <w:szCs w:val="32"/>
          <w:lang w:val="en-US" w:eastAsia="zh-CN"/>
        </w:rPr>
        <w:t>23</w:t>
      </w:r>
      <w:r>
        <w:rPr>
          <w:rFonts w:hint="eastAsia" w:ascii="仿宋_GB2312" w:hAnsi="仿宋_GB2312" w:eastAsia="仿宋_GB2312" w:cs="仿宋_GB2312"/>
          <w:b w:val="0"/>
          <w:bCs w:val="0"/>
          <w:sz w:val="32"/>
          <w:szCs w:val="32"/>
        </w:rPr>
        <w:t>日</w:t>
      </w:r>
      <w:r>
        <w:rPr>
          <w:rFonts w:hint="eastAsia" w:ascii="仿宋_GB2312" w:hAnsi="仿宋_GB2312" w:eastAsia="仿宋_GB2312" w:cs="仿宋_GB2312"/>
          <w:b w:val="0"/>
          <w:bCs w:val="0"/>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right="0" w:rightChars="0"/>
        <w:jc w:val="center"/>
        <w:textAlignment w:val="auto"/>
        <w:outlineLvl w:val="9"/>
        <w:rPr>
          <w:b w:val="0"/>
          <w:bCs w:val="0"/>
        </w:rPr>
      </w:pPr>
      <w:r>
        <w:rPr>
          <w:rFonts w:hint="eastAsia" w:ascii="仿宋_GB2312" w:hAnsi="仿宋_GB2312" w:eastAsia="仿宋_GB2312" w:cs="仿宋_GB2312"/>
          <w:b w:val="0"/>
          <w:bCs w:val="0"/>
          <w:kern w:val="2"/>
          <w:sz w:val="32"/>
          <w:szCs w:val="32"/>
          <w:lang w:val="en-US" w:eastAsia="zh-CN" w:bidi="ar-SA"/>
        </w:rPr>
        <w:t>（联系人：曾妍妍，电话：83151008）</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pos="0"/>
        </w:tabs>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仿宋_GB2312" w:eastAsia="仿宋_GB2312" w:cs="仿宋_GB2312"/>
          <w:sz w:val="32"/>
          <w:szCs w:val="32"/>
          <w:lang w:eastAsia="zh-CN"/>
        </w:rPr>
      </w:pPr>
    </w:p>
    <w:p>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left="0" w:leftChars="0" w:right="0" w:rightChars="0" w:firstLine="640" w:firstLineChars="200"/>
        <w:jc w:val="left"/>
        <w:textAlignment w:val="auto"/>
        <w:outlineLvl w:val="9"/>
        <w:rPr>
          <w:rFonts w:hint="eastAsia" w:ascii="仿宋_GB2312" w:hAnsi="仿宋_GB2312" w:eastAsia="仿宋_GB2312" w:cs="仿宋_GB2312"/>
          <w:sz w:val="32"/>
          <w:szCs w:val="32"/>
          <w:lang w:val="en-US" w:eastAsia="zh-CN"/>
        </w:rPr>
      </w:pPr>
    </w:p>
    <w:p>
      <w:pPr>
        <w:keepNext w:val="0"/>
        <w:keepLines w:val="0"/>
        <w:pageBreakBefore w:val="0"/>
        <w:kinsoku/>
        <w:overflowPunct/>
        <w:topLinePunct w:val="0"/>
        <w:autoSpaceDE/>
        <w:autoSpaceDN/>
        <w:bidi w:val="0"/>
        <w:adjustRightInd/>
        <w:spacing w:line="560" w:lineRule="exact"/>
        <w:textAlignment w:val="auto"/>
      </w:pP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方正小标宋_GBK">
    <w:panose1 w:val="02000000000000000000"/>
    <w:charset w:val="86"/>
    <w:family w:val="script"/>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80585B"/>
    <w:multiLevelType w:val="singleLevel"/>
    <w:tmpl w:val="DC80585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C35E73"/>
    <w:rsid w:val="0BB94667"/>
    <w:rsid w:val="157B7BF2"/>
    <w:rsid w:val="1E83429E"/>
    <w:rsid w:val="2E779925"/>
    <w:rsid w:val="3FC35E73"/>
    <w:rsid w:val="43C1710F"/>
    <w:rsid w:val="4EE7FAD7"/>
    <w:rsid w:val="4FDF065D"/>
    <w:rsid w:val="66591815"/>
    <w:rsid w:val="777C4A51"/>
    <w:rsid w:val="77B73996"/>
    <w:rsid w:val="77E5FD78"/>
    <w:rsid w:val="77FD8326"/>
    <w:rsid w:val="7FFE9162"/>
    <w:rsid w:val="D77D95EF"/>
    <w:rsid w:val="DE7F618E"/>
    <w:rsid w:val="DF88B35C"/>
    <w:rsid w:val="DFCFD271"/>
    <w:rsid w:val="ED6DBF49"/>
    <w:rsid w:val="FDBF4DF4"/>
    <w:rsid w:val="FDD2F8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4"/>
    <w:basedOn w:val="1"/>
    <w:next w:val="1"/>
    <w:qFormat/>
    <w:uiPriority w:val="0"/>
    <w:pPr>
      <w:outlineLvl w:val="3"/>
    </w:pPr>
    <w:rPr>
      <w:rFonts w:ascii="华文仿宋" w:hAnsi="华文仿宋"/>
      <w:szCs w:val="7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2"/>
    <w:qFormat/>
    <w:uiPriority w:val="0"/>
    <w:pPr>
      <w:widowControl w:val="0"/>
      <w:spacing w:after="120" w:afterLines="0" w:line="480" w:lineRule="auto"/>
      <w:ind w:left="420" w:leftChars="200"/>
      <w:jc w:val="both"/>
    </w:pPr>
    <w:rPr>
      <w:rFonts w:ascii="Times New Roman" w:hAnsi="Times New Roman" w:eastAsia="仿宋_GB2312" w:cs="Times New Roman"/>
      <w:kern w:val="2"/>
      <w:sz w:val="32"/>
      <w:szCs w:val="24"/>
      <w:lang w:val="en-US" w:eastAsia="zh-CN" w:bidi="ar-SA"/>
    </w:rPr>
  </w:style>
  <w:style w:type="paragraph" w:styleId="4">
    <w:name w:val="Body Text First Indent"/>
    <w:next w:val="1"/>
    <w:qFormat/>
    <w:uiPriority w:val="0"/>
    <w:pPr>
      <w:widowControl w:val="0"/>
      <w:spacing w:line="360" w:lineRule="auto"/>
      <w:ind w:firstLine="420" w:firstLineChars="100"/>
      <w:jc w:val="center"/>
    </w:pPr>
    <w:rPr>
      <w:rFonts w:ascii="Calibri" w:hAnsi="Calibri" w:eastAsia="宋体" w:cs="Times New Roman"/>
      <w:bCs/>
      <w:kern w:val="2"/>
      <w:sz w:val="44"/>
      <w:szCs w:val="24"/>
      <w:lang w:val="en-US" w:eastAsia="zh-CN" w:bidi="ar-SA"/>
    </w:rPr>
  </w:style>
  <w:style w:type="paragraph" w:customStyle="1" w:styleId="7">
    <w:name w:val="正文_0"/>
    <w:next w:val="1"/>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19</TotalTime>
  <ScaleCrop>false</ScaleCrop>
  <LinksUpToDate>false</LinksUpToDate>
  <CharactersWithSpaces>0</CharactersWithSpaces>
  <Application>WPS Office_11.8.2.11851_F1E327BC-269C-435d-A152-05C5408002CA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2024-04-12T19:19:00Z</dcterms:created>
  <dc:creator>曾</dc:creator>
  <cp:lastModifiedBy>周琪</cp:lastModifiedBy>
  <cp:lastPrinted>2024-05-24T09:21:16Z</cp:lastPrinted>
  <dcterms:modified xsi:type="dcterms:W3CDTF">2024-05-24T16:33:50Z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2052-11.8.2.11851</vt:lpwstr>
  </property>
  <property fmtid="{D5CDD505-2E9C-101B-9397-08002B2CF9AE}" pid="3" name="ICV">
    <vt:lpwstr>6819CC5B1DCB7F9FFC9B4E660361DA39</vt:lpwstr>
  </property>
</Properties>
</file>