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heme="minorHAnsi" w:hAnsiTheme="minorHAnsi" w:eastAsiaTheme="minorEastAsia" w:cstheme="minorBidi"/>
        </w:rPr>
      </w:pPr>
      <w:bookmarkStart w:id="0" w:name="_GoBack"/>
      <w:r>
        <w:rPr>
          <w:rFonts w:asciiTheme="minorHAnsi" w:hAnsiTheme="minorHAnsi" w:eastAsiaTheme="minorEastAsia" w:cstheme="minorBidi"/>
        </w:rPr>
        <w:drawing>
          <wp:anchor distT="0" distB="0" distL="114300" distR="114300" simplePos="0" relativeHeight="251659264" behindDoc="0" locked="0" layoutInCell="1" allowOverlap="1">
            <wp:simplePos x="0" y="0"/>
            <wp:positionH relativeFrom="page">
              <wp:align>center</wp:align>
            </wp:positionH>
            <wp:positionV relativeFrom="page">
              <wp:align>bottom</wp:align>
            </wp:positionV>
            <wp:extent cx="6191250" cy="904875"/>
            <wp:effectExtent l="0" t="0" r="0" b="9525"/>
            <wp:wrapNone/>
            <wp:docPr id="5" name="图片 4" descr="G:\谭桌面\D盘\小谭\红头文件\已改\政府信笺.bmp政府信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G:\谭桌面\D盘\小谭\红头文件\已改\政府信笺.bmp政府信笺"/>
                    <pic:cNvPicPr>
                      <a:picLocks noChangeAspect="1"/>
                    </pic:cNvPicPr>
                  </pic:nvPicPr>
                  <pic:blipFill>
                    <a:blip r:embed="rId7"/>
                    <a:srcRect/>
                    <a:stretch>
                      <a:fillRect/>
                    </a:stretch>
                  </pic:blipFill>
                  <pic:spPr>
                    <a:xfrm>
                      <a:off x="709295" y="9756140"/>
                      <a:ext cx="6191250" cy="904875"/>
                    </a:xfrm>
                    <a:prstGeom prst="rect">
                      <a:avLst/>
                    </a:prstGeom>
                    <a:noFill/>
                    <a:ln>
                      <a:noFill/>
                    </a:ln>
                  </pic:spPr>
                </pic:pic>
              </a:graphicData>
            </a:graphic>
          </wp:anchor>
        </w:drawing>
      </w:r>
    </w:p>
    <w:p>
      <w:pPr>
        <w:jc w:val="center"/>
        <w:rPr>
          <w:rFonts w:asciiTheme="minorHAnsi" w:hAnsiTheme="minorHAnsi" w:eastAsiaTheme="minorEastAsia" w:cstheme="minorBidi"/>
        </w:rPr>
      </w:pPr>
      <w:r>
        <w:rPr>
          <w:rFonts w:asciiTheme="minorHAnsi" w:hAnsiTheme="minorHAnsi" w:eastAsiaTheme="minorEastAsia" w:cstheme="minorBidi"/>
        </w:rPr>
        <w:drawing>
          <wp:anchor distT="0" distB="0" distL="114300" distR="114300" simplePos="0" relativeHeight="251660288" behindDoc="1" locked="0" layoutInCell="1" allowOverlap="1">
            <wp:simplePos x="0" y="0"/>
            <wp:positionH relativeFrom="page">
              <wp:align>center</wp:align>
            </wp:positionH>
            <wp:positionV relativeFrom="page">
              <wp:align>top</wp:align>
            </wp:positionV>
            <wp:extent cx="6472555" cy="1811020"/>
            <wp:effectExtent l="0" t="0" r="4445" b="17780"/>
            <wp:wrapNone/>
            <wp:docPr id="3" name="图片 2" descr="E:\G_Drive\QQFILE\城管局\深圳市福田区城市管理和综合执法局.jpg深圳市福田区城市管理和综合执法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E:\G_Drive\QQFILE\城管局\深圳市福田区城市管理和综合执法局.jpg深圳市福田区城市管理和综合执法局"/>
                    <pic:cNvPicPr>
                      <a:picLocks noChangeAspect="1"/>
                    </pic:cNvPicPr>
                  </pic:nvPicPr>
                  <pic:blipFill>
                    <a:blip r:embed="rId8"/>
                    <a:srcRect/>
                    <a:stretch>
                      <a:fillRect/>
                    </a:stretch>
                  </pic:blipFill>
                  <pic:spPr>
                    <a:xfrm>
                      <a:off x="720090" y="19050"/>
                      <a:ext cx="6472555" cy="1811020"/>
                    </a:xfrm>
                    <a:prstGeom prst="rect">
                      <a:avLst/>
                    </a:prstGeom>
                    <a:noFill/>
                    <a:ln>
                      <a:noFill/>
                    </a:ln>
                  </pic:spPr>
                </pic:pic>
              </a:graphicData>
            </a:graphic>
          </wp:anchor>
        </w:drawing>
      </w:r>
    </w:p>
    <w:p>
      <w:pPr>
        <w:keepNext w:val="0"/>
        <w:keepLines w:val="0"/>
        <w:pageBreakBefore w:val="0"/>
        <w:kinsoku/>
        <w:wordWrap/>
        <w:overflowPunct/>
        <w:topLinePunct w:val="0"/>
        <w:bidi w:val="0"/>
        <w:snapToGrid/>
        <w:spacing w:line="560" w:lineRule="exact"/>
        <w:jc w:val="both"/>
        <w:textAlignment w:val="auto"/>
        <w:rPr>
          <w:rFonts w:hint="eastAsia" w:ascii="仿宋_GB2312" w:hAnsi="Times New Roman" w:eastAsia="仿宋_GB2312" w:cs="Times New Roman"/>
          <w:sz w:val="32"/>
        </w:rPr>
      </w:pPr>
    </w:p>
    <w:p>
      <w:pPr>
        <w:pStyle w:val="9"/>
        <w:keepNext w:val="0"/>
        <w:keepLines w:val="0"/>
        <w:pageBreakBefore w:val="0"/>
        <w:kinsoku/>
        <w:wordWrap/>
        <w:overflowPunct/>
        <w:topLinePunct w:val="0"/>
        <w:bidi w:val="0"/>
        <w:snapToGrid/>
        <w:spacing w:line="560" w:lineRule="exact"/>
        <w:jc w:val="center"/>
        <w:textAlignment w:val="auto"/>
        <w:rPr>
          <w:rFonts w:hint="eastAsia"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rPr>
        <w:t>福田区城市管理</w:t>
      </w:r>
      <w:r>
        <w:rPr>
          <w:rFonts w:hint="eastAsia" w:ascii="方正小标宋简体" w:hAnsi="方正小标宋简体" w:eastAsia="方正小标宋简体" w:cs="方正小标宋简体"/>
          <w:b w:val="0"/>
          <w:bCs/>
          <w:sz w:val="44"/>
          <w:szCs w:val="44"/>
          <w:lang w:eastAsia="zh-CN"/>
        </w:rPr>
        <w:t>和综合执法</w:t>
      </w:r>
      <w:r>
        <w:rPr>
          <w:rFonts w:hint="eastAsia" w:ascii="方正小标宋简体" w:hAnsi="方正小标宋简体" w:eastAsia="方正小标宋简体" w:cs="方正小标宋简体"/>
          <w:b w:val="0"/>
          <w:bCs/>
          <w:sz w:val="44"/>
          <w:szCs w:val="44"/>
        </w:rPr>
        <w:t>局关于</w:t>
      </w:r>
      <w:r>
        <w:rPr>
          <w:rFonts w:hint="eastAsia" w:ascii="方正小标宋简体" w:hAnsi="方正小标宋简体" w:eastAsia="方正小标宋简体" w:cs="方正小标宋简体"/>
          <w:b w:val="0"/>
          <w:bCs/>
          <w:sz w:val="44"/>
          <w:szCs w:val="44"/>
          <w:lang w:eastAsia="zh-CN"/>
        </w:rPr>
        <w:t>福田区</w:t>
      </w:r>
    </w:p>
    <w:p>
      <w:pPr>
        <w:pStyle w:val="9"/>
        <w:keepNext w:val="0"/>
        <w:keepLines w:val="0"/>
        <w:pageBreakBefore w:val="0"/>
        <w:kinsoku/>
        <w:wordWrap/>
        <w:overflowPunct/>
        <w:topLinePunct w:val="0"/>
        <w:bidi w:val="0"/>
        <w:snapToGrid/>
        <w:spacing w:line="56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第</w:t>
      </w:r>
      <w:r>
        <w:rPr>
          <w:rFonts w:hint="eastAsia" w:ascii="方正小标宋简体" w:hAnsi="方正小标宋简体" w:eastAsia="方正小标宋简体" w:cs="方正小标宋简体"/>
          <w:b w:val="0"/>
          <w:bCs/>
          <w:sz w:val="44"/>
          <w:szCs w:val="44"/>
          <w:lang w:eastAsia="zh-CN"/>
        </w:rPr>
        <w:t>八</w:t>
      </w:r>
      <w:r>
        <w:rPr>
          <w:rFonts w:hint="eastAsia" w:ascii="方正小标宋简体" w:hAnsi="方正小标宋简体" w:eastAsia="方正小标宋简体" w:cs="方正小标宋简体"/>
          <w:b w:val="0"/>
          <w:bCs/>
          <w:sz w:val="44"/>
          <w:szCs w:val="44"/>
        </w:rPr>
        <w:t>届人民代表大会第</w:t>
      </w:r>
      <w:r>
        <w:rPr>
          <w:rFonts w:hint="eastAsia" w:ascii="方正小标宋简体" w:hAnsi="方正小标宋简体" w:eastAsia="方正小标宋简体" w:cs="方正小标宋简体"/>
          <w:b w:val="0"/>
          <w:bCs/>
          <w:sz w:val="44"/>
          <w:szCs w:val="44"/>
          <w:lang w:eastAsia="zh-CN"/>
        </w:rPr>
        <w:t>四</w:t>
      </w:r>
      <w:r>
        <w:rPr>
          <w:rFonts w:hint="eastAsia" w:ascii="方正小标宋简体" w:hAnsi="方正小标宋简体" w:eastAsia="方正小标宋简体" w:cs="方正小标宋简体"/>
          <w:b w:val="0"/>
          <w:bCs/>
          <w:sz w:val="44"/>
          <w:szCs w:val="44"/>
        </w:rPr>
        <w:t>次会议代表</w:t>
      </w:r>
    </w:p>
    <w:p>
      <w:pPr>
        <w:pStyle w:val="9"/>
        <w:keepNext w:val="0"/>
        <w:keepLines w:val="0"/>
        <w:pageBreakBefore w:val="0"/>
        <w:kinsoku/>
        <w:wordWrap/>
        <w:overflowPunct/>
        <w:topLinePunct w:val="0"/>
        <w:bidi w:val="0"/>
        <w:snapToGrid/>
        <w:spacing w:line="56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建议第20240102号的答复</w:t>
      </w:r>
    </w:p>
    <w:p>
      <w:pPr>
        <w:keepNext w:val="0"/>
        <w:keepLines w:val="0"/>
        <w:pageBreakBefore w:val="0"/>
        <w:widowControl w:val="0"/>
        <w:kinsoku/>
        <w:wordWrap/>
        <w:overflowPunct/>
        <w:topLinePunct w:val="0"/>
        <w:bidi w:val="0"/>
        <w:adjustRightInd/>
        <w:snapToGrid/>
        <w:spacing w:beforeAutospacing="0" w:afterAutospacing="0" w:line="560" w:lineRule="exact"/>
        <w:ind w:left="0" w:leftChars="0" w:right="0" w:firstLine="0" w:firstLineChars="0"/>
        <w:jc w:val="center"/>
        <w:textAlignment w:val="auto"/>
        <w:outlineLvl w:val="9"/>
        <w:rPr>
          <w:rFonts w:hint="eastAsia" w:ascii="方正小标宋_GBK" w:hAnsi="方正小标宋_GBK" w:eastAsia="方正小标宋_GBK" w:cs="方正小标宋_GBK"/>
          <w:kern w:val="2"/>
          <w:sz w:val="44"/>
          <w:szCs w:val="44"/>
          <w:lang w:val="en-US" w:eastAsia="zh-CN" w:bidi="ar-SA"/>
        </w:rPr>
      </w:pP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560" w:lineRule="exact"/>
        <w:ind w:left="0" w:leftChars="0" w:right="0"/>
        <w:jc w:val="left"/>
        <w:textAlignment w:val="auto"/>
        <w:outlineLvl w:val="9"/>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en-US" w:eastAsia="zh-CN" w:bidi="ar-SA"/>
        </w:rPr>
        <w:t>尊敬的刘一平等代表</w:t>
      </w:r>
      <w:r>
        <w:rPr>
          <w:rFonts w:hint="eastAsia" w:ascii="仿宋_GB2312" w:hAnsi="仿宋_GB2312" w:eastAsia="仿宋_GB2312" w:cs="仿宋_GB2312"/>
          <w:color w:val="000000"/>
          <w:kern w:val="0"/>
          <w:sz w:val="32"/>
          <w:szCs w:val="32"/>
          <w:lang w:val="zh-CN" w:eastAsia="zh-CN" w:bidi="ar-SA"/>
        </w:rPr>
        <w:t>：</w:t>
      </w:r>
    </w:p>
    <w:p>
      <w:pPr>
        <w:pStyle w:val="10"/>
        <w:keepNext w:val="0"/>
        <w:keepLines w:val="0"/>
        <w:pageBreakBefore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您</w:t>
      </w:r>
      <w:r>
        <w:rPr>
          <w:rFonts w:hint="eastAsia" w:hAnsi="仿宋_GB2312" w:cs="仿宋_GB2312"/>
          <w:sz w:val="32"/>
          <w:szCs w:val="32"/>
          <w:lang w:eastAsia="zh-CN"/>
        </w:rPr>
        <w:t>们</w:t>
      </w:r>
      <w:r>
        <w:rPr>
          <w:rFonts w:hint="eastAsia" w:ascii="仿宋_GB2312" w:hAnsi="仿宋_GB2312" w:eastAsia="仿宋_GB2312" w:cs="仿宋_GB2312"/>
          <w:sz w:val="32"/>
          <w:szCs w:val="32"/>
        </w:rPr>
        <w:t>提出的</w:t>
      </w:r>
      <w:r>
        <w:rPr>
          <w:rFonts w:hint="eastAsia" w:hAnsi="仿宋_GB2312" w:cs="仿宋_GB2312"/>
          <w:sz w:val="32"/>
          <w:szCs w:val="32"/>
          <w:lang w:eastAsia="zh-CN"/>
        </w:rPr>
        <w:t>《</w:t>
      </w:r>
      <w:r>
        <w:rPr>
          <w:rFonts w:hint="eastAsia" w:ascii="仿宋_GB2312" w:hAnsi="仿宋_GB2312" w:eastAsia="仿宋_GB2312" w:cs="仿宋_GB2312"/>
          <w:color w:val="000000"/>
          <w:kern w:val="0"/>
          <w:sz w:val="32"/>
          <w:szCs w:val="32"/>
          <w:lang w:val="zh-CN" w:eastAsia="zh-CN" w:bidi="ar-SA"/>
        </w:rPr>
        <w:t>关于加快香蜜湖立交桥周边人行通道及绿化带景观提升的建议</w:t>
      </w:r>
      <w:r>
        <w:rPr>
          <w:rFonts w:hint="eastAsia" w:hAnsi="仿宋_GB2312" w:cs="仿宋_GB2312"/>
          <w:sz w:val="32"/>
          <w:szCs w:val="32"/>
          <w:lang w:eastAsia="zh-CN"/>
        </w:rPr>
        <w:t>》</w:t>
      </w:r>
      <w:r>
        <w:rPr>
          <w:rFonts w:hint="eastAsia" w:ascii="仿宋_GB2312" w:hAnsi="仿宋_GB2312" w:eastAsia="仿宋_GB2312" w:cs="仿宋_GB2312"/>
          <w:sz w:val="32"/>
          <w:szCs w:val="32"/>
        </w:rPr>
        <w:t>收悉。感谢您</w:t>
      </w:r>
      <w:r>
        <w:rPr>
          <w:rFonts w:hint="eastAsia" w:hAnsi="仿宋_GB2312" w:cs="仿宋_GB2312"/>
          <w:sz w:val="32"/>
          <w:szCs w:val="32"/>
          <w:lang w:eastAsia="zh-CN"/>
        </w:rPr>
        <w:t>们</w:t>
      </w:r>
      <w:r>
        <w:rPr>
          <w:rFonts w:hint="eastAsia" w:ascii="仿宋_GB2312" w:hAnsi="仿宋_GB2312" w:eastAsia="仿宋_GB2312" w:cs="仿宋_GB2312"/>
          <w:sz w:val="32"/>
          <w:szCs w:val="32"/>
        </w:rPr>
        <w:t>对我区城市管理工作的支持和关心，现将</w:t>
      </w:r>
      <w:r>
        <w:rPr>
          <w:rFonts w:hint="eastAsia" w:ascii="仿宋_GB2312" w:hAnsi="仿宋_GB2312" w:eastAsia="仿宋_GB2312" w:cs="仿宋_GB2312"/>
          <w:sz w:val="32"/>
          <w:szCs w:val="32"/>
          <w:lang w:val="en-US" w:eastAsia="zh-CN"/>
        </w:rPr>
        <w:t>您们提出的建议</w:t>
      </w:r>
      <w:r>
        <w:rPr>
          <w:rFonts w:hint="eastAsia" w:ascii="仿宋_GB2312" w:hAnsi="仿宋_GB2312" w:eastAsia="仿宋_GB2312" w:cs="仿宋_GB2312"/>
          <w:sz w:val="32"/>
          <w:szCs w:val="32"/>
          <w:lang w:eastAsia="zh-CN"/>
        </w:rPr>
        <w:t>办理</w:t>
      </w:r>
      <w:r>
        <w:rPr>
          <w:rFonts w:hint="eastAsia" w:ascii="仿宋_GB2312" w:hAnsi="仿宋_GB2312" w:eastAsia="仿宋_GB2312" w:cs="仿宋_GB2312"/>
          <w:sz w:val="32"/>
          <w:szCs w:val="32"/>
        </w:rPr>
        <w:t>情况</w:t>
      </w:r>
      <w:r>
        <w:rPr>
          <w:rFonts w:hint="eastAsia" w:ascii="仿宋_GB2312" w:hAnsi="仿宋_GB2312" w:eastAsia="仿宋_GB2312" w:cs="仿宋_GB2312"/>
          <w:sz w:val="32"/>
          <w:szCs w:val="32"/>
          <w:lang w:eastAsia="zh-CN"/>
        </w:rPr>
        <w:t>答</w:t>
      </w:r>
      <w:r>
        <w:rPr>
          <w:rFonts w:hint="eastAsia" w:ascii="仿宋_GB2312" w:hAnsi="仿宋_GB2312" w:eastAsia="仿宋_GB2312" w:cs="仿宋_GB2312"/>
          <w:sz w:val="32"/>
          <w:szCs w:val="32"/>
        </w:rPr>
        <w:t>复如下：</w:t>
      </w:r>
    </w:p>
    <w:p>
      <w:pPr>
        <w:keepNext w:val="0"/>
        <w:keepLines w:val="0"/>
        <w:pageBreakBefore w:val="0"/>
        <w:numPr>
          <w:ilvl w:val="0"/>
          <w:numId w:val="1"/>
        </w:numPr>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香蜜湖立交桥周边原被地铁集团施工占用，地铁集团于2022年11月开始进行车公庙综合交通枢纽绿化恢复工程，绿化恢复面积约12万平方米，包括立交景观、桥下景观、香蜜路路侧绿地、深南大道及滨河大道路侧及中央绿化带和桥上景观五部分。其中桥下空间从城市生态性及绿化量的延续角度出发，重塑桥下绿色生态系统，结合海绵城市相关措施，形成车公庙片区的城市绿肺。预计2024年7月份完工。</w:t>
      </w:r>
    </w:p>
    <w:p>
      <w:pPr>
        <w:keepNext w:val="0"/>
        <w:keepLines w:val="0"/>
        <w:pageBreakBefore w:val="0"/>
        <w:numPr>
          <w:ilvl w:val="0"/>
          <w:numId w:val="0"/>
        </w:numPr>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二、福田区香蜜湖片区是承载深圳标志性记忆的重要符号之一，紧邻深圳中心轴线，是深圳市重点开发建设区域、福田区“十四五”规划重点打造的三大新引擎之一。2023年我区已对</w:t>
      </w:r>
      <w:r>
        <w:rPr>
          <w:rFonts w:hint="eastAsia" w:ascii="仿宋_GB2312" w:hAnsi="仿宋_GB2312" w:eastAsia="仿宋_GB2312" w:cs="仿宋_GB2312"/>
          <w:color w:val="auto"/>
          <w:sz w:val="32"/>
          <w:szCs w:val="32"/>
          <w:lang w:eastAsia="zh-CN"/>
        </w:rPr>
        <w:t>香蜜湖立交桥下空间进行提升，采用乔灌草、灌草等复层植物组团形式，强化植物空间的多样性。</w:t>
      </w:r>
      <w:r>
        <w:rPr>
          <w:rFonts w:hint="eastAsia" w:ascii="仿宋_GB2312" w:hAnsi="仿宋_GB2312" w:eastAsia="仿宋_GB2312" w:cs="仿宋_GB2312"/>
          <w:sz w:val="32"/>
          <w:szCs w:val="32"/>
          <w:lang w:val="en-US" w:eastAsia="zh-CN"/>
        </w:rPr>
        <w:t>我区计划开展香蜜湖立交桥下和街旁空间改造工作，目的打造一个活力十足的公共公园，可以为周边市民的休闲娱乐和社交提供一个新的空间，高架路也像是一把巨大的保护伞，为桥下空间遮风挡雨，塑造出一片全年无休的活动场地。桥下空间改造后将加入一些集市、书吧、DIY手作等文化元素，营造特色文化街区，为园区办公人群提供更丰富的业余生活及配套服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2024年我区计划实施“拆墙见绿”工作，坚持“应透尽透、因地制宜、安全第一、分类实施”的原则，鼓励小规模、渐进式有机更新和微改造，防止大拆大建，扎实开展拆围透绿，共融共享，通过增加配套设施、植入主题，增强城市空间通透性、层次感和纵深感，实现单位绿化空间向社会开放、与市民共享。故我区大力支持企业拆除泰然工业园和福田天安数码城园区与人行道之间的老旧围墙，同时，我区也将提供必要的支持和指导，协助企业顺利完成围墙的拆除工作。</w:t>
      </w:r>
    </w:p>
    <w:p>
      <w:pPr>
        <w:pStyle w:val="9"/>
        <w:keepNext w:val="0"/>
        <w:keepLines w:val="0"/>
        <w:pageBreakBefore w:val="0"/>
        <w:numPr>
          <w:ilvl w:val="0"/>
          <w:numId w:val="0"/>
        </w:numPr>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再次感谢您</w:t>
      </w:r>
      <w:r>
        <w:rPr>
          <w:rFonts w:hint="eastAsia" w:ascii="仿宋_GB2312" w:hAnsi="仿宋_GB2312" w:eastAsia="仿宋_GB2312" w:cs="仿宋_GB2312"/>
          <w:sz w:val="32"/>
          <w:szCs w:val="32"/>
          <w:lang w:eastAsia="zh-CN"/>
        </w:rPr>
        <w:t>们</w:t>
      </w:r>
      <w:r>
        <w:rPr>
          <w:rFonts w:hint="eastAsia" w:ascii="仿宋_GB2312" w:hAnsi="仿宋_GB2312" w:eastAsia="仿宋_GB2312" w:cs="仿宋_GB2312"/>
          <w:sz w:val="32"/>
          <w:szCs w:val="32"/>
        </w:rPr>
        <w:t>对我区城市管理工作的关心和支持，恳请您</w:t>
      </w:r>
      <w:r>
        <w:rPr>
          <w:rFonts w:hint="eastAsia" w:ascii="仿宋_GB2312" w:hAnsi="仿宋_GB2312" w:eastAsia="仿宋_GB2312" w:cs="仿宋_GB2312"/>
          <w:sz w:val="32"/>
          <w:szCs w:val="32"/>
          <w:lang w:eastAsia="zh-CN"/>
        </w:rPr>
        <w:t>们</w:t>
      </w:r>
      <w:r>
        <w:rPr>
          <w:rFonts w:hint="eastAsia" w:ascii="仿宋_GB2312" w:hAnsi="仿宋_GB2312" w:eastAsia="仿宋_GB2312" w:cs="仿宋_GB2312"/>
          <w:sz w:val="32"/>
          <w:szCs w:val="32"/>
        </w:rPr>
        <w:t>继续对城</w:t>
      </w:r>
      <w:r>
        <w:rPr>
          <w:rFonts w:hint="eastAsia" w:ascii="仿宋_GB2312" w:hAnsi="仿宋_GB2312" w:eastAsia="仿宋_GB2312" w:cs="仿宋_GB2312"/>
          <w:sz w:val="32"/>
          <w:szCs w:val="32"/>
          <w:lang w:eastAsia="zh-CN"/>
        </w:rPr>
        <w:t>市管理</w:t>
      </w:r>
      <w:r>
        <w:rPr>
          <w:rFonts w:hint="eastAsia" w:ascii="仿宋_GB2312" w:hAnsi="仿宋_GB2312" w:eastAsia="仿宋_GB2312" w:cs="仿宋_GB2312"/>
          <w:sz w:val="32"/>
          <w:szCs w:val="32"/>
        </w:rPr>
        <w:t>工作多提宝贵意见。</w:t>
      </w:r>
    </w:p>
    <w:p>
      <w:pPr>
        <w:keepNext w:val="0"/>
        <w:keepLines w:val="0"/>
        <w:pageBreakBefore w:val="0"/>
        <w:numPr>
          <w:ilvl w:val="0"/>
          <w:numId w:val="0"/>
        </w:numPr>
        <w:kinsoku/>
        <w:wordWrap/>
        <w:overflowPunct/>
        <w:topLinePunct w:val="0"/>
        <w:bidi w:val="0"/>
        <w:snapToGrid/>
        <w:spacing w:line="560" w:lineRule="exact"/>
        <w:ind w:firstLine="0"/>
        <w:textAlignment w:val="auto"/>
        <w:rPr>
          <w:rFonts w:hint="eastAsia" w:ascii="仿宋_GB2312" w:hAnsi="仿宋_GB2312" w:eastAsia="仿宋_GB2312" w:cs="仿宋_GB2312"/>
          <w:color w:val="auto"/>
          <w:sz w:val="32"/>
          <w:szCs w:val="32"/>
        </w:rPr>
      </w:pPr>
    </w:p>
    <w:p>
      <w:pPr>
        <w:keepNext w:val="0"/>
        <w:keepLines w:val="0"/>
        <w:pageBreakBefore w:val="0"/>
        <w:kinsoku/>
        <w:wordWrap/>
        <w:overflowPunct/>
        <w:topLinePunct w:val="0"/>
        <w:bidi w:val="0"/>
        <w:snapToGrid/>
        <w:spacing w:line="560" w:lineRule="exact"/>
        <w:ind w:right="0"/>
        <w:textAlignment w:val="auto"/>
        <w:outlineLvl w:val="9"/>
        <w:rPr>
          <w:rFonts w:hint="eastAsia" w:ascii="仿宋_GB2312" w:hAnsi="仿宋_GB2312" w:eastAsia="仿宋_GB2312" w:cs="仿宋_GB2312"/>
          <w:color w:val="auto"/>
          <w:sz w:val="32"/>
          <w:szCs w:val="32"/>
          <w:lang w:eastAsia="zh-CN"/>
        </w:rPr>
      </w:pPr>
    </w:p>
    <w:p>
      <w:pPr>
        <w:keepNext w:val="0"/>
        <w:keepLines w:val="0"/>
        <w:pageBreakBefore w:val="0"/>
        <w:kinsoku/>
        <w:wordWrap/>
        <w:overflowPunct/>
        <w:topLinePunct w:val="0"/>
        <w:autoSpaceDE w:val="0"/>
        <w:autoSpaceDN w:val="0"/>
        <w:bidi w:val="0"/>
        <w:adjustRightInd w:val="0"/>
        <w:snapToGrid/>
        <w:spacing w:line="560" w:lineRule="exact"/>
        <w:ind w:left="4800" w:hanging="4800" w:hangingChars="1500"/>
        <w:jc w:val="left"/>
        <w:textAlignment w:val="auto"/>
        <w:outlineLvl w:val="2"/>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en-US" w:eastAsia="zh-CN" w:bidi="ar-SA"/>
        </w:rPr>
        <w:t xml:space="preserve">                    深圳市</w:t>
      </w:r>
      <w:r>
        <w:rPr>
          <w:rFonts w:hint="eastAsia" w:ascii="仿宋_GB2312" w:hAnsi="仿宋_GB2312" w:eastAsia="仿宋_GB2312" w:cs="仿宋_GB2312"/>
          <w:color w:val="000000"/>
          <w:kern w:val="0"/>
          <w:sz w:val="32"/>
          <w:szCs w:val="32"/>
          <w:lang w:val="zh-CN" w:eastAsia="zh-CN" w:bidi="ar-SA"/>
        </w:rPr>
        <w:t>福田区城市管理和综合执法局</w:t>
      </w:r>
      <w:r>
        <w:rPr>
          <w:rFonts w:hint="eastAsia" w:ascii="仿宋_GB2312" w:hAnsi="仿宋_GB2312" w:eastAsia="仿宋_GB2312" w:cs="仿宋_GB2312"/>
          <w:color w:val="000000"/>
          <w:kern w:val="0"/>
          <w:sz w:val="32"/>
          <w:szCs w:val="32"/>
          <w:lang w:val="en-US" w:eastAsia="zh-CN" w:bidi="ar-SA"/>
        </w:rPr>
        <w:t xml:space="preserve">                                                                                   </w:t>
      </w:r>
      <w:r>
        <w:rPr>
          <w:rFonts w:hint="eastAsia" w:ascii="仿宋_GB2312" w:hAnsi="仿宋_GB2312" w:eastAsia="仿宋_GB2312" w:cs="仿宋_GB2312"/>
          <w:color w:val="000000"/>
          <w:kern w:val="0"/>
          <w:sz w:val="32"/>
          <w:szCs w:val="32"/>
          <w:lang w:val="zh-CN" w:eastAsia="zh-CN" w:bidi="ar-SA"/>
        </w:rPr>
        <w:t>20</w:t>
      </w:r>
      <w:r>
        <w:rPr>
          <w:rFonts w:hint="eastAsia" w:ascii="仿宋_GB2312" w:hAnsi="仿宋_GB2312" w:eastAsia="仿宋_GB2312" w:cs="仿宋_GB2312"/>
          <w:color w:val="000000"/>
          <w:kern w:val="0"/>
          <w:sz w:val="32"/>
          <w:szCs w:val="32"/>
          <w:lang w:val="en-US" w:eastAsia="zh-CN" w:bidi="ar-SA"/>
        </w:rPr>
        <w:t>24</w:t>
      </w:r>
      <w:r>
        <w:rPr>
          <w:rFonts w:hint="eastAsia" w:ascii="仿宋_GB2312" w:hAnsi="仿宋_GB2312" w:eastAsia="仿宋_GB2312" w:cs="仿宋_GB2312"/>
          <w:color w:val="000000"/>
          <w:kern w:val="0"/>
          <w:sz w:val="32"/>
          <w:szCs w:val="32"/>
          <w:lang w:val="zh-CN" w:eastAsia="zh-CN" w:bidi="ar-SA"/>
        </w:rPr>
        <w:t>年</w:t>
      </w:r>
      <w:r>
        <w:rPr>
          <w:rFonts w:hint="eastAsia" w:ascii="仿宋_GB2312" w:hAnsi="仿宋_GB2312" w:eastAsia="仿宋_GB2312" w:cs="仿宋_GB2312"/>
          <w:color w:val="000000"/>
          <w:kern w:val="0"/>
          <w:sz w:val="32"/>
          <w:szCs w:val="32"/>
          <w:lang w:val="en-US" w:eastAsia="zh-CN" w:bidi="ar-SA"/>
        </w:rPr>
        <w:t>6</w:t>
      </w:r>
      <w:r>
        <w:rPr>
          <w:rFonts w:hint="eastAsia" w:ascii="仿宋_GB2312" w:hAnsi="仿宋_GB2312" w:eastAsia="仿宋_GB2312" w:cs="仿宋_GB2312"/>
          <w:color w:val="000000"/>
          <w:kern w:val="0"/>
          <w:sz w:val="32"/>
          <w:szCs w:val="32"/>
          <w:lang w:val="zh-CN" w:eastAsia="zh-CN" w:bidi="ar-SA"/>
        </w:rPr>
        <w:t>月</w:t>
      </w:r>
      <w:r>
        <w:rPr>
          <w:rFonts w:hint="eastAsia" w:ascii="仿宋_GB2312" w:hAnsi="仿宋_GB2312" w:eastAsia="仿宋_GB2312" w:cs="仿宋_GB2312"/>
          <w:color w:val="000000"/>
          <w:kern w:val="0"/>
          <w:sz w:val="32"/>
          <w:szCs w:val="32"/>
          <w:lang w:val="en-US" w:eastAsia="zh-CN" w:bidi="ar-SA"/>
        </w:rPr>
        <w:t>18</w:t>
      </w:r>
      <w:r>
        <w:rPr>
          <w:rFonts w:hint="eastAsia" w:ascii="仿宋_GB2312" w:hAnsi="仿宋_GB2312" w:eastAsia="仿宋_GB2312" w:cs="仿宋_GB2312"/>
          <w:color w:val="000000"/>
          <w:kern w:val="0"/>
          <w:sz w:val="32"/>
          <w:szCs w:val="32"/>
          <w:lang w:val="zh-CN" w:eastAsia="zh-CN" w:bidi="ar-SA"/>
        </w:rPr>
        <w:t>日</w:t>
      </w:r>
    </w:p>
    <w:p>
      <w:pPr>
        <w:pStyle w:val="2"/>
        <w:rPr>
          <w:rFonts w:hint="eastAsia"/>
          <w:lang w:val="zh-CN" w:eastAsia="zh-CN"/>
        </w:rPr>
      </w:pPr>
    </w:p>
    <w:p>
      <w:pPr>
        <w:keepNext w:val="0"/>
        <w:keepLines w:val="0"/>
        <w:pageBreakBefore w:val="0"/>
        <w:kinsoku/>
        <w:wordWrap/>
        <w:overflowPunct/>
        <w:topLinePunct w:val="0"/>
        <w:autoSpaceDE w:val="0"/>
        <w:autoSpaceDN w:val="0"/>
        <w:bidi w:val="0"/>
        <w:adjustRightInd w:val="0"/>
        <w:snapToGrid/>
        <w:spacing w:line="560" w:lineRule="exact"/>
        <w:ind w:left="0" w:hanging="3520" w:hangingChars="1100"/>
        <w:jc w:val="left"/>
        <w:textAlignment w:val="auto"/>
        <w:outlineLvl w:val="2"/>
      </w:pPr>
      <w:r>
        <w:rPr>
          <w:rFonts w:hint="eastAsia" w:ascii="仿宋_GB2312" w:hAnsi="仿宋_GB2312" w:eastAsia="仿宋_GB2312" w:cs="仿宋_GB2312"/>
          <w:color w:val="000000"/>
          <w:kern w:val="0"/>
          <w:sz w:val="32"/>
          <w:szCs w:val="32"/>
          <w:lang w:val="en-US" w:eastAsia="zh-CN" w:bidi="ar-SA"/>
        </w:rPr>
        <w:t xml:space="preserve">    </w:t>
      </w:r>
      <w:r>
        <w:rPr>
          <w:rFonts w:hint="eastAsia" w:ascii="仿宋_GB2312" w:hAnsi="仿宋_GB2312" w:eastAsia="仿宋_GB2312" w:cs="仿宋_GB2312"/>
          <w:color w:val="000000"/>
          <w:kern w:val="0"/>
          <w:sz w:val="32"/>
          <w:szCs w:val="32"/>
          <w:lang w:val="zh-CN" w:eastAsia="zh-CN" w:bidi="ar-SA"/>
        </w:rPr>
        <w:t>（联系人：刘学琴，联系电话：</w:t>
      </w:r>
      <w:r>
        <w:rPr>
          <w:rFonts w:hint="eastAsia" w:ascii="仿宋_GB2312" w:hAnsi="仿宋_GB2312" w:eastAsia="仿宋_GB2312" w:cs="仿宋_GB2312"/>
          <w:color w:val="000000"/>
          <w:kern w:val="0"/>
          <w:sz w:val="32"/>
          <w:szCs w:val="32"/>
          <w:lang w:val="en-US" w:eastAsia="zh-CN" w:bidi="ar-SA"/>
        </w:rPr>
        <w:t>83128211)</w:t>
      </w:r>
    </w:p>
    <w:bookmarkEnd w:id="0"/>
    <w:sectPr>
      <w:headerReference r:id="rId3" w:type="default"/>
      <w:footerReference r:id="rId4" w:type="default"/>
      <w:footerReference r:id="rId5" w:type="even"/>
      <w:pgSz w:w="11906" w:h="16838"/>
      <w:pgMar w:top="2098" w:right="1474" w:bottom="1984" w:left="1587" w:header="851" w:footer="136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rPr>
        <w:rFonts w:hint="eastAsia" w:ascii="Times New Roman" w:hAnsi="Times New Roman" w:eastAsia="宋体" w:cs="Times New Roman"/>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ind w:left="420" w:leftChars="200"/>
      <w:rPr>
        <w:rStyle w:val="8"/>
        <w:rFonts w:hint="eastAsia" w:ascii="宋体" w:hAnsi="宋体" w:eastAsia="宋体" w:cs="Times New Roman"/>
        <w:sz w:val="28"/>
        <w:szCs w:val="28"/>
      </w:rPr>
    </w:pPr>
    <w:r>
      <w:rPr>
        <w:rStyle w:val="8"/>
        <w:rFonts w:hint="eastAsia" w:ascii="宋体" w:hAnsi="宋体" w:eastAsia="宋体" w:cs="Times New Roman"/>
        <w:sz w:val="28"/>
        <w:szCs w:val="28"/>
      </w:rPr>
      <w:t xml:space="preserve">― </w:t>
    </w:r>
    <w:r>
      <w:rPr>
        <w:rFonts w:ascii="宋体" w:hAnsi="宋体" w:eastAsia="宋体" w:cs="Times New Roman"/>
        <w:sz w:val="28"/>
        <w:szCs w:val="28"/>
      </w:rPr>
      <w:fldChar w:fldCharType="begin"/>
    </w:r>
    <w:r>
      <w:rPr>
        <w:rStyle w:val="8"/>
        <w:rFonts w:ascii="宋体" w:hAnsi="宋体" w:eastAsia="宋体" w:cs="Times New Roman"/>
        <w:sz w:val="28"/>
        <w:szCs w:val="28"/>
      </w:rPr>
      <w:instrText xml:space="preserve">PAGE  </w:instrText>
    </w:r>
    <w:r>
      <w:rPr>
        <w:rFonts w:ascii="宋体" w:hAnsi="宋体" w:eastAsia="宋体" w:cs="Times New Roman"/>
        <w:sz w:val="28"/>
        <w:szCs w:val="28"/>
      </w:rPr>
      <w:fldChar w:fldCharType="separate"/>
    </w:r>
    <w:r>
      <w:rPr>
        <w:rStyle w:val="8"/>
        <w:rFonts w:ascii="宋体" w:hAnsi="宋体" w:eastAsia="宋体" w:cs="Times New Roman"/>
        <w:sz w:val="28"/>
        <w:szCs w:val="28"/>
      </w:rPr>
      <w:t>2</w:t>
    </w:r>
    <w:r>
      <w:rPr>
        <w:rFonts w:ascii="宋体" w:hAnsi="宋体" w:eastAsia="宋体" w:cs="Times New Roman"/>
        <w:sz w:val="28"/>
        <w:szCs w:val="28"/>
      </w:rPr>
      <w:fldChar w:fldCharType="end"/>
    </w:r>
    <w:r>
      <w:rPr>
        <w:rStyle w:val="8"/>
        <w:rFonts w:hint="eastAsia" w:ascii="宋体" w:hAnsi="宋体" w:eastAsia="宋体" w:cs="Times New Roman"/>
        <w:sz w:val="28"/>
        <w:szCs w:val="28"/>
      </w:rPr>
      <w:t xml:space="preserve"> ― </w:t>
    </w:r>
  </w:p>
  <w:p>
    <w:pPr>
      <w:pStyle w:val="4"/>
      <w:ind w:right="360" w:firstLine="360"/>
      <w:rPr>
        <w:rFonts w:ascii="Times New Roman" w:hAnsi="Times New Roman" w:eastAsia="宋体"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rPr>
        <w:rFonts w:ascii="Times New Roman" w:hAnsi="Times New Roman" w:eastAsia="宋体"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2263E3"/>
    <w:multiLevelType w:val="singleLevel"/>
    <w:tmpl w:val="FF2263E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66F822B"/>
    <w:rsid w:val="BFD76EB6"/>
    <w:rsid w:val="F66F82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next w:val="1"/>
    <w:qFormat/>
    <w:uiPriority w:val="0"/>
    <w:pPr>
      <w:widowControl w:val="0"/>
      <w:spacing w:after="120"/>
      <w:ind w:firstLine="420" w:firstLineChars="100"/>
      <w:jc w:val="center"/>
    </w:pPr>
    <w:rPr>
      <w:rFonts w:ascii="Calibri" w:hAnsi="Calibri" w:eastAsia="宋体" w:cs="Times New Roman"/>
      <w:kern w:val="2"/>
      <w:sz w:val="44"/>
      <w:szCs w:val="24"/>
      <w:lang w:val="en-US" w:eastAsia="zh-CN" w:bidi="ar-SA"/>
    </w:rPr>
  </w:style>
  <w:style w:type="paragraph" w:styleId="3">
    <w:name w:val="Body Text"/>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4">
    <w:name w:val="footer"/>
    <w:qFormat/>
    <w:uiPriority w:val="0"/>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styleId="5">
    <w:name w:val="header"/>
    <w:qFormat/>
    <w:uiPriority w:val="0"/>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szCs w:val="18"/>
      <w:lang w:val="en-US" w:eastAsia="zh-CN" w:bidi="ar-SA"/>
    </w:rPr>
  </w:style>
  <w:style w:type="character" w:styleId="8">
    <w:name w:val="page number"/>
    <w:qFormat/>
    <w:uiPriority w:val="0"/>
    <w:rPr>
      <w:rFonts w:ascii="Tahoma" w:hAnsi="Tahoma"/>
      <w:sz w:val="24"/>
      <w:szCs w:val="20"/>
    </w:rPr>
  </w:style>
  <w:style w:type="paragraph" w:customStyle="1" w:styleId="9">
    <w:name w:val="p0"/>
    <w:qFormat/>
    <w:uiPriority w:val="0"/>
    <w:pPr>
      <w:widowControl/>
      <w:jc w:val="both"/>
    </w:pPr>
    <w:rPr>
      <w:rFonts w:ascii="Times New Roman" w:hAnsi="Times New Roman" w:eastAsia="宋体" w:cs="Times New Roman"/>
      <w:kern w:val="0"/>
      <w:sz w:val="21"/>
      <w:szCs w:val="21"/>
      <w:lang w:val="en-US" w:eastAsia="zh-CN" w:bidi="ar-SA"/>
    </w:rPr>
  </w:style>
  <w:style w:type="paragraph" w:customStyle="1" w:styleId="10">
    <w:name w:val="p17"/>
    <w:qFormat/>
    <w:uiPriority w:val="0"/>
    <w:pPr>
      <w:widowControl/>
      <w:ind w:firstLine="630"/>
      <w:jc w:val="both"/>
    </w:pPr>
    <w:rPr>
      <w:rFonts w:ascii="仿宋_GB2312" w:hAnsi="宋体" w:eastAsia="仿宋_GB2312" w:cs="宋体"/>
      <w:kern w:val="0"/>
      <w:sz w:val="32"/>
      <w:szCs w:val="32"/>
      <w:lang w:val="en-US" w:eastAsia="zh-CN" w:bidi="ar-SA"/>
    </w:rPr>
  </w:style>
  <w:style w:type="paragraph" w:customStyle="1" w:styleId="11">
    <w:name w:val=" Char Char Char Char Char Char"/>
    <w:qFormat/>
    <w:uiPriority w:val="0"/>
    <w:pPr>
      <w:widowControl w:val="0"/>
      <w:jc w:val="both"/>
    </w:pPr>
    <w:rPr>
      <w:rFonts w:ascii="Tahoma" w:hAnsi="Tahoma" w:eastAsia="宋体" w:cs="Times New Roman"/>
      <w:kern w:val="2"/>
      <w:sz w:val="24"/>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jpe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Office_11.8.2.11851_F1E327BC-269C-435d-A152-05C5408002CA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2024-06-19T17:57:00Z</dcterms:created>
  <dc:creator>zhongyan</dc:creator>
  <cp:lastModifiedBy>钟燕</cp:lastModifiedBy>
  <dcterms:modified xsi:type="dcterms:W3CDTF">2024-06-19T17:58:26Z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2052-11.8.2.11851</vt:lpwstr>
  </property>
  <property fmtid="{D5CDD505-2E9C-101B-9397-08002B2CF9AE}" pid="3" name="ICV">
    <vt:lpwstr>37D4B4FD9198579A93AB7266CF828280</vt:lpwstr>
  </property>
</Properties>
</file>