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textAlignment w:val="auto"/>
        <w:rPr>
          <w:rFonts w:asciiTheme="minorHAnsi" w:hAnsiTheme="minorHAnsi" w:eastAsiaTheme="minorEastAsia" w:cstheme="minorBidi"/>
        </w:rPr>
      </w:pPr>
      <w:bookmarkStart w:id="0" w:name="_GoBack"/>
      <w:r>
        <w:rPr>
          <w:rFonts w:asciiTheme="minorHAnsi" w:hAnsiTheme="minorHAnsi" w:eastAsiaTheme="minorEastAsia" w:cstheme="minorBidi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ge">
              <wp:align>bottom</wp:align>
            </wp:positionV>
            <wp:extent cx="6191250" cy="904875"/>
            <wp:effectExtent l="0" t="0" r="0" b="9525"/>
            <wp:wrapNone/>
            <wp:docPr id="5" name="图片 4" descr="G:\谭桌面\D盘\小谭\红头文件\已改\政府信笺.bmp政府信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G:\谭桌面\D盘\小谭\红头文件\已改\政府信笺.bmp政府信笺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709295" y="9756140"/>
                      <a:ext cx="61912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jc w:val="center"/>
        <w:textAlignment w:val="auto"/>
        <w:rPr>
          <w:rFonts w:hint="eastAsia" w:ascii="仿宋_GB2312" w:hAnsi="Times New Roman" w:eastAsia="仿宋_GB2312" w:cs="Times New Roman"/>
          <w:sz w:val="32"/>
        </w:rPr>
      </w:pPr>
      <w:r>
        <w:rPr>
          <w:rFonts w:asciiTheme="minorHAnsi" w:hAnsiTheme="minorHAnsi" w:eastAsiaTheme="minorEastAsia" w:cstheme="minorBidi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align>top</wp:align>
            </wp:positionV>
            <wp:extent cx="6472555" cy="1811020"/>
            <wp:effectExtent l="0" t="0" r="4445" b="17780"/>
            <wp:wrapNone/>
            <wp:docPr id="3" name="图片 2" descr="E:\G_Drive\QQFILE\城管局\深圳市福田区城市管理和综合执法局.jpg深圳市福田区城市管理和综合执法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E:\G_Drive\QQFILE\城管局\深圳市福田区城市管理和综合执法局.jpg深圳市福田区城市管理和综合执法局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720090" y="19050"/>
                      <a:ext cx="6472555" cy="181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福田区城市管理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和综合执法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局关于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福田区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八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届人民代表大会第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次会议代表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建议第20240131号的答复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Autospacing="0" w:afterAutospacing="0" w:line="54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Autospacing="0" w:line="240" w:lineRule="auto"/>
        <w:ind w:left="0" w:leftChars="0" w:right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尊敬的张文舒等代表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-SA"/>
        </w:rPr>
        <w:t>：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</w:t>
      </w:r>
      <w:r>
        <w:rPr>
          <w:rFonts w:hint="eastAsia" w:hAnsi="仿宋_GB2312" w:cs="仿宋_GB2312"/>
          <w:sz w:val="32"/>
          <w:szCs w:val="32"/>
          <w:lang w:eastAsia="zh-CN"/>
        </w:rPr>
        <w:t>们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</w:t>
      </w:r>
      <w:r>
        <w:rPr>
          <w:rFonts w:hint="eastAsia" w:hAnsi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-SA"/>
        </w:rPr>
        <w:t>关于建设儿童国防教育主题公园的建议</w:t>
      </w:r>
      <w:r>
        <w:rPr>
          <w:rFonts w:hint="eastAsia" w:hAnsi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收悉。感谢您</w:t>
      </w:r>
      <w:r>
        <w:rPr>
          <w:rFonts w:hint="eastAsia" w:hAnsi="仿宋_GB2312" w:cs="仿宋_GB2312"/>
          <w:sz w:val="32"/>
          <w:szCs w:val="32"/>
          <w:lang w:eastAsia="zh-CN"/>
        </w:rPr>
        <w:t>们</w:t>
      </w:r>
      <w:r>
        <w:rPr>
          <w:rFonts w:hint="eastAsia" w:ascii="仿宋_GB2312" w:hAnsi="仿宋_GB2312" w:eastAsia="仿宋_GB2312" w:cs="仿宋_GB2312"/>
          <w:sz w:val="32"/>
          <w:szCs w:val="32"/>
        </w:rPr>
        <w:t>对我区城市管理工作的支持和关心，现将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您们提出的</w:t>
      </w:r>
      <w:r>
        <w:rPr>
          <w:rFonts w:hint="eastAsia" w:hAnsi="仿宋_GB2312" w:cs="仿宋_GB2312"/>
          <w:sz w:val="32"/>
          <w:szCs w:val="32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在福田区人民武装部周边建设国防教育主题公园</w:t>
      </w:r>
      <w:r>
        <w:rPr>
          <w:rFonts w:hint="eastAsia" w:hAnsi="仿宋_GB2312" w:cs="仿宋_GB2312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的建议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办理</w:t>
      </w:r>
      <w:r>
        <w:rPr>
          <w:rFonts w:hint="eastAsia" w:ascii="仿宋_GB2312" w:hAnsi="仿宋_GB2312" w:eastAsia="仿宋_GB2312" w:cs="仿宋_GB2312"/>
          <w:sz w:val="32"/>
          <w:szCs w:val="32"/>
        </w:rPr>
        <w:t>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答</w:t>
      </w:r>
      <w:r>
        <w:rPr>
          <w:rFonts w:hint="eastAsia" w:ascii="仿宋_GB2312" w:hAnsi="仿宋_GB2312" w:eastAsia="仿宋_GB2312" w:cs="仿宋_GB2312"/>
          <w:sz w:val="32"/>
          <w:szCs w:val="32"/>
        </w:rPr>
        <w:t>复如下：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-SA"/>
        </w:rPr>
        <w:t>少年智则国智，少年富则国富，少年强则国强。全民国防教育是建设巩固国防和强大人民军队的基础性工程，是弘扬爱国主义精神、增强全民国防意识的有效途径，意义重大，影响深远。福田区积极开展国防教育活动，深入挖掘爱国主义精神内涵，重点突出青少年群体，将国防主题教育贯穿立德树人全过程，教育引导学生以爱国主义为精神底色，激发学生们立报国之志、强国防担当的决心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基本情况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outlineLvl w:val="9"/>
        <w:rPr>
          <w:rFonts w:hint="eastAsia" w:ascii="仿宋_GB2312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福田区作为深圳的中心城区，具有显著的“高密度、高强度、高建成度”的特征，福田区一直坚持生态营城。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截至2023年低，福田区共完成了10个社区公园的营建。目前，福田公园总数已由125座跃升到135座</w:t>
      </w:r>
      <w:r>
        <w:rPr>
          <w:rFonts w:hint="eastAsia" w:ascii="仿宋_GB2312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，成为名副其实的百园福田。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同时，我区正在开展“童乐福田计划”，通过“民生微实事”渠道，合理利用闲置公园绿地、小区架空层和空地、绿化带等区域，以500米半径的服务圈为单元，新增、提升、改建一批亲子游乐设施，包括</w:t>
      </w:r>
      <w:r>
        <w:rPr>
          <w:rFonts w:hint="eastAsia" w:ascii="Times New Roman" w:hAnsi="Times New Roman" w:eastAsia="华文仿宋" w:cs="Times New Roman"/>
          <w:b w:val="0"/>
          <w:sz w:val="32"/>
          <w:lang w:val="en-US" w:eastAsia="zh-CN"/>
        </w:rPr>
        <w:t>跷跷板、滑梯等设施</w:t>
      </w:r>
      <w:r>
        <w:rPr>
          <w:rFonts w:hint="eastAsia" w:ascii="仿宋_GB2312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，打造家门口的社区亲子空间，实现社区儿童“出门入园、就近游乐”的效果，不断增强居民群众的获得感、幸福感、安全感。现已在国防大厦周边选取了点位，项目位于新沙社区新光小区，旨在推动公共空间环境改造提升，让孩子们在家门口就能享受安全、有爱的户外活动空间，进一步提升了居民的获得感、幸福感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zh-CN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下一步工作计划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-SA"/>
        </w:rPr>
        <w:t>为确保公园能够更好地满足社区的需求，提高使用率和满意度。下一步，我区将广泛征求周边居民对建设儿童国防主题公园的意见，做好前期调研工作，及时发现并解决可能的问题，避免在建设完成后出现更大的争议和调整成本。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-SA"/>
        </w:rPr>
        <w:t>同时，我区将科学规划公园建设，从功能配套等方面着手，重点增加公园的活动属性，提升使用功能，计划在我区公园的改造提升或新建公园的规划设计中，为儿童国防教育科普基地的建设提供绿地资源，如打造儿童国防教育文化长廊、儿童国防教育文化动漫景点等，以各种形式开展儿童国防教育。大力在全社会营造关心国防、热爱国防、建设国防、保卫国防的浓厚社会氛围。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再次感谢您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们</w:t>
      </w:r>
      <w:r>
        <w:rPr>
          <w:rFonts w:hint="eastAsia" w:ascii="仿宋_GB2312" w:hAnsi="仿宋_GB2312" w:eastAsia="仿宋_GB2312" w:cs="仿宋_GB2312"/>
          <w:sz w:val="32"/>
          <w:szCs w:val="32"/>
        </w:rPr>
        <w:t>对我区城市管理工作的关心和支持，恳请您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们</w:t>
      </w:r>
      <w:r>
        <w:rPr>
          <w:rFonts w:hint="eastAsia" w:ascii="仿宋_GB2312" w:hAnsi="仿宋_GB2312" w:eastAsia="仿宋_GB2312" w:cs="仿宋_GB2312"/>
          <w:sz w:val="32"/>
          <w:szCs w:val="32"/>
        </w:rPr>
        <w:t>继续对城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市管理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工作多提宝贵意见。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right="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right="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left="0" w:leftChars="0" w:firstLine="0" w:firstLineChars="0"/>
        <w:jc w:val="center"/>
        <w:textAlignment w:val="auto"/>
        <w:outlineLvl w:val="2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 xml:space="preserve">       深圳市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-SA"/>
        </w:rPr>
        <w:t>福田区城市管理和综合执法局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 xml:space="preserve">                                               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-SA"/>
        </w:rPr>
        <w:t>20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24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-SA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21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-SA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left="0" w:hanging="3520" w:hangingChars="1100"/>
        <w:jc w:val="center"/>
        <w:textAlignment w:val="auto"/>
        <w:outlineLvl w:val="2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-SA"/>
        </w:rPr>
        <w:t>（联系人：李一，联系电话：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83128211)</w:t>
      </w:r>
    </w:p>
    <w:bookmarkEnd w:id="0"/>
    <w:sectPr>
      <w:headerReference r:id="rId3" w:type="default"/>
      <w:footerReference r:id="rId4" w:type="default"/>
      <w:footerReference r:id="rId5" w:type="even"/>
      <w:pgSz w:w="11906" w:h="16838"/>
      <w:pgMar w:top="2098" w:right="1474" w:bottom="1984" w:left="1587" w:header="851" w:footer="136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  <w:rPr>
        <w:rFonts w:hint="eastAsia" w:ascii="Times New Roman" w:hAnsi="Times New Roman" w:eastAsia="宋体" w:cs="Times New Roman"/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420" w:leftChars="200"/>
      <w:rPr>
        <w:rStyle w:val="6"/>
        <w:rFonts w:hint="eastAsia" w:ascii="宋体" w:hAnsi="宋体" w:eastAsia="宋体" w:cs="Times New Roman"/>
        <w:sz w:val="28"/>
        <w:szCs w:val="28"/>
      </w:rPr>
    </w:pPr>
    <w:r>
      <w:rPr>
        <w:rStyle w:val="6"/>
        <w:rFonts w:hint="eastAsia" w:ascii="宋体" w:hAnsi="宋体" w:eastAsia="宋体" w:cs="Times New Roman"/>
        <w:sz w:val="28"/>
        <w:szCs w:val="28"/>
      </w:rPr>
      <w:t xml:space="preserve">― </w:t>
    </w:r>
    <w:r>
      <w:rPr>
        <w:rFonts w:ascii="宋体" w:hAnsi="宋体" w:eastAsia="宋体" w:cs="Times New Roman"/>
        <w:sz w:val="28"/>
        <w:szCs w:val="28"/>
      </w:rPr>
      <w:fldChar w:fldCharType="begin"/>
    </w:r>
    <w:r>
      <w:rPr>
        <w:rStyle w:val="6"/>
        <w:rFonts w:ascii="宋体" w:hAnsi="宋体" w:eastAsia="宋体" w:cs="Times New Roman"/>
        <w:sz w:val="28"/>
        <w:szCs w:val="28"/>
      </w:rPr>
      <w:instrText xml:space="preserve">PAGE  </w:instrText>
    </w:r>
    <w:r>
      <w:rPr>
        <w:rFonts w:ascii="宋体" w:hAnsi="宋体" w:eastAsia="宋体" w:cs="Times New Roman"/>
        <w:sz w:val="28"/>
        <w:szCs w:val="28"/>
      </w:rPr>
      <w:fldChar w:fldCharType="separate"/>
    </w:r>
    <w:r>
      <w:rPr>
        <w:rStyle w:val="6"/>
        <w:rFonts w:ascii="宋体" w:hAnsi="宋体" w:eastAsia="宋体" w:cs="Times New Roman"/>
        <w:sz w:val="28"/>
        <w:szCs w:val="28"/>
      </w:rPr>
      <w:t>2</w:t>
    </w:r>
    <w:r>
      <w:rPr>
        <w:rFonts w:ascii="宋体" w:hAnsi="宋体" w:eastAsia="宋体" w:cs="Times New Roman"/>
        <w:sz w:val="28"/>
        <w:szCs w:val="28"/>
      </w:rPr>
      <w:fldChar w:fldCharType="end"/>
    </w:r>
    <w:r>
      <w:rPr>
        <w:rStyle w:val="6"/>
        <w:rFonts w:hint="eastAsia" w:ascii="宋体" w:hAnsi="宋体" w:eastAsia="宋体" w:cs="Times New Roman"/>
        <w:sz w:val="28"/>
        <w:szCs w:val="28"/>
      </w:rPr>
      <w:t xml:space="preserve"> ― </w:t>
    </w:r>
  </w:p>
  <w:p>
    <w:pPr>
      <w:pStyle w:val="2"/>
      <w:ind w:right="360" w:firstLine="360"/>
      <w:rPr>
        <w:rFonts w:ascii="Times New Roman" w:hAnsi="Times New Roman" w:eastAsia="宋体"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Fonts w:ascii="Times New Roman" w:hAnsi="Times New Roman" w:eastAsia="宋体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D6479"/>
    <w:multiLevelType w:val="singleLevel"/>
    <w:tmpl w:val="858D64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FA7A83"/>
    <w:rsid w:val="DFF955A4"/>
    <w:rsid w:val="DFFA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styleId="6">
    <w:name w:val="page number"/>
    <w:qFormat/>
    <w:uiPriority w:val="0"/>
    <w:rPr>
      <w:rFonts w:ascii="Tahoma" w:hAnsi="Tahoma"/>
      <w:sz w:val="24"/>
      <w:szCs w:val="20"/>
    </w:rPr>
  </w:style>
  <w:style w:type="paragraph" w:customStyle="1" w:styleId="7">
    <w:name w:val="p0"/>
    <w:qFormat/>
    <w:uiPriority w:val="0"/>
    <w:pPr>
      <w:widowControl/>
      <w:jc w:val="both"/>
    </w:pPr>
    <w:rPr>
      <w:rFonts w:ascii="Times New Roman" w:hAnsi="Times New Roman" w:eastAsia="宋体" w:cs="Times New Roman"/>
      <w:kern w:val="0"/>
      <w:sz w:val="21"/>
      <w:szCs w:val="21"/>
      <w:lang w:val="en-US" w:eastAsia="zh-CN" w:bidi="ar-SA"/>
    </w:rPr>
  </w:style>
  <w:style w:type="paragraph" w:customStyle="1" w:styleId="8">
    <w:name w:val="p17"/>
    <w:qFormat/>
    <w:uiPriority w:val="0"/>
    <w:pPr>
      <w:widowControl/>
      <w:ind w:firstLine="630"/>
      <w:jc w:val="both"/>
    </w:pPr>
    <w:rPr>
      <w:rFonts w:ascii="仿宋_GB2312" w:hAnsi="宋体" w:eastAsia="仿宋_GB2312" w:cs="宋体"/>
      <w:kern w:val="0"/>
      <w:sz w:val="32"/>
      <w:szCs w:val="32"/>
      <w:lang w:val="en-US" w:eastAsia="zh-CN" w:bidi="ar-SA"/>
    </w:rPr>
  </w:style>
  <w:style w:type="paragraph" w:customStyle="1" w:styleId="9">
    <w:name w:val=" Char Char Char Char Char Char"/>
    <w:qFormat/>
    <w:uiPriority w:val="0"/>
    <w:pPr>
      <w:widowControl w:val="0"/>
      <w:jc w:val="both"/>
    </w:pPr>
    <w:rPr>
      <w:rFonts w:ascii="Tahoma" w:hAnsi="Tahoma" w:eastAsia="宋体" w:cs="Times New Roman"/>
      <w:kern w:val="2"/>
      <w:sz w:val="2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jpe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Office_11.8.2.11851_F1E327BC-269C-435d-A152-05C5408002CA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2024-06-19T17:26:00Z</dcterms:created>
  <dc:creator>zhongyan</dc:creator>
  <cp:lastModifiedBy>钟燕</cp:lastModifiedBy>
  <dcterms:modified xsi:type="dcterms:W3CDTF">2024-06-19T17:28:04Z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2052-11.8.2.11851</vt:lpwstr>
  </property>
  <property fmtid="{D5CDD505-2E9C-101B-9397-08002B2CF9AE}" pid="3" name="ICV">
    <vt:lpwstr>47F441876A2FE02329A472664A5A3468</vt:lpwstr>
  </property>
</Properties>
</file>