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textAlignment w:val="auto"/>
        <w:rPr>
          <w:rStyle w:val="8"/>
          <w:kern w:val="2"/>
          <w:sz w:val="21"/>
          <w:szCs w:val="21"/>
          <w:lang w:val="en-US" w:eastAsia="zh-CN" w:bidi="ar-SA"/>
        </w:rPr>
      </w:pPr>
      <w:r>
        <w:rPr>
          <w:rStyle w:val="8"/>
          <w:kern w:val="2"/>
          <w:sz w:val="21"/>
          <w:szCs w:val="21"/>
          <w:lang w:val="en-US" w:eastAsia="zh-CN" w:bidi="ar-SA"/>
        </w:rPr>
        <w:t xml:space="preserve">  </w:t>
      </w:r>
    </w:p>
    <w:p>
      <w:pPr>
        <w:pStyle w:val="9"/>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color w:val="000000" w:themeColor="text1"/>
          <w:sz w:val="44"/>
          <w:szCs w:val="44"/>
          <w14:textFill>
            <w14:solidFill>
              <w14:schemeClr w14:val="tx1"/>
            </w14:solidFill>
          </w14:textFill>
        </w:rPr>
      </w:pPr>
      <w:r>
        <w:rPr>
          <w:rStyle w:val="8"/>
          <w:kern w:val="2"/>
          <w:sz w:val="21"/>
          <w:szCs w:val="21"/>
          <w:lang w:val="en-US" w:eastAsia="zh-CN" w:bidi="ar-SA"/>
        </w:rPr>
        <w:t xml:space="preserve"> </w:t>
      </w:r>
      <w:r>
        <w:rPr>
          <w:rFonts w:hint="eastAsia" w:ascii="方正小标宋_GBK" w:hAnsi="方正小标宋_GBK" w:eastAsia="方正小标宋_GBK" w:cs="方正小标宋_GBK"/>
          <w:b w:val="0"/>
          <w:bCs/>
          <w:sz w:val="44"/>
          <w:szCs w:val="44"/>
        </w:rPr>
        <w:t>福田</w:t>
      </w:r>
      <w:r>
        <w:rPr>
          <w:rFonts w:hint="eastAsia" w:ascii="方正小标宋_GBK" w:hAnsi="方正小标宋_GBK" w:eastAsia="方正小标宋_GBK" w:cs="方正小标宋_GBK"/>
          <w:b w:val="0"/>
          <w:bCs/>
          <w:color w:val="000000" w:themeColor="text1"/>
          <w:sz w:val="44"/>
          <w:szCs w:val="44"/>
          <w14:textFill>
            <w14:solidFill>
              <w14:schemeClr w14:val="tx1"/>
            </w14:solidFill>
          </w14:textFill>
        </w:rPr>
        <w:t>区城市管理和综合执法局关于深圳市</w:t>
      </w:r>
    </w:p>
    <w:p>
      <w:pPr>
        <w:pStyle w:val="9"/>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color w:val="000000" w:themeColor="text1"/>
          <w:sz w:val="44"/>
          <w:szCs w:val="44"/>
          <w14:textFill>
            <w14:solidFill>
              <w14:schemeClr w14:val="tx1"/>
            </w14:solidFill>
          </w14:textFill>
        </w:rPr>
      </w:pPr>
      <w:r>
        <w:rPr>
          <w:rFonts w:hint="eastAsia" w:ascii="方正小标宋_GBK" w:hAnsi="方正小标宋_GBK" w:eastAsia="方正小标宋_GBK" w:cs="方正小标宋_GBK"/>
          <w:b w:val="0"/>
          <w:bCs/>
          <w:color w:val="000000" w:themeColor="text1"/>
          <w:sz w:val="44"/>
          <w:szCs w:val="44"/>
          <w14:textFill>
            <w14:solidFill>
              <w14:schemeClr w14:val="tx1"/>
            </w14:solidFill>
          </w14:textFill>
        </w:rPr>
        <w:t>福田区第</w:t>
      </w:r>
      <w:r>
        <w:rPr>
          <w:rFonts w:hint="eastAsia" w:ascii="方正小标宋_GBK" w:hAnsi="方正小标宋_GBK" w:eastAsia="方正小标宋_GBK" w:cs="方正小标宋_GBK"/>
          <w:b w:val="0"/>
          <w:bCs/>
          <w:color w:val="000000" w:themeColor="text1"/>
          <w:sz w:val="44"/>
          <w:szCs w:val="44"/>
          <w:lang w:val="en-US" w:eastAsia="zh-CN"/>
          <w14:textFill>
            <w14:solidFill>
              <w14:schemeClr w14:val="tx1"/>
            </w14:solidFill>
          </w14:textFill>
        </w:rPr>
        <w:t>八</w:t>
      </w:r>
      <w:r>
        <w:rPr>
          <w:rFonts w:hint="eastAsia" w:ascii="方正小标宋_GBK" w:hAnsi="方正小标宋_GBK" w:eastAsia="方正小标宋_GBK" w:cs="方正小标宋_GBK"/>
          <w:b w:val="0"/>
          <w:bCs/>
          <w:color w:val="000000" w:themeColor="text1"/>
          <w:sz w:val="44"/>
          <w:szCs w:val="44"/>
          <w14:textFill>
            <w14:solidFill>
              <w14:schemeClr w14:val="tx1"/>
            </w14:solidFill>
          </w14:textFill>
        </w:rPr>
        <w:t>届人民代表大会第</w:t>
      </w:r>
      <w:r>
        <w:rPr>
          <w:rFonts w:hint="eastAsia" w:ascii="方正小标宋_GBK" w:hAnsi="方正小标宋_GBK" w:eastAsia="方正小标宋_GBK" w:cs="方正小标宋_GBK"/>
          <w:b w:val="0"/>
          <w:bCs/>
          <w:color w:val="000000" w:themeColor="text1"/>
          <w:sz w:val="44"/>
          <w:szCs w:val="44"/>
          <w:lang w:val="en-US" w:eastAsia="zh-CN"/>
          <w14:textFill>
            <w14:solidFill>
              <w14:schemeClr w14:val="tx1"/>
            </w14:solidFill>
          </w14:textFill>
        </w:rPr>
        <w:t>四</w:t>
      </w:r>
      <w:r>
        <w:rPr>
          <w:rFonts w:hint="eastAsia" w:ascii="方正小标宋_GBK" w:hAnsi="方正小标宋_GBK" w:eastAsia="方正小标宋_GBK" w:cs="方正小标宋_GBK"/>
          <w:b w:val="0"/>
          <w:bCs/>
          <w:color w:val="000000" w:themeColor="text1"/>
          <w:sz w:val="44"/>
          <w:szCs w:val="44"/>
          <w14:textFill>
            <w14:solidFill>
              <w14:schemeClr w14:val="tx1"/>
            </w14:solidFill>
          </w14:textFill>
        </w:rPr>
        <w:t>次会议</w:t>
      </w:r>
    </w:p>
    <w:p>
      <w:pPr>
        <w:pStyle w:val="9"/>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color w:val="000000" w:themeColor="text1"/>
          <w:sz w:val="44"/>
          <w:szCs w:val="44"/>
          <w:lang w:eastAsia="zh-CN"/>
          <w14:textFill>
            <w14:solidFill>
              <w14:schemeClr w14:val="tx1"/>
            </w14:solidFill>
          </w14:textFill>
        </w:rPr>
      </w:pPr>
      <w:r>
        <w:rPr>
          <w:rFonts w:hint="eastAsia" w:ascii="方正小标宋_GBK" w:hAnsi="方正小标宋_GBK" w:eastAsia="方正小标宋_GBK" w:cs="方正小标宋_GBK"/>
          <w:b w:val="0"/>
          <w:bCs/>
          <w:color w:val="000000" w:themeColor="text1"/>
          <w:sz w:val="44"/>
          <w:szCs w:val="44"/>
          <w14:textFill>
            <w14:solidFill>
              <w14:schemeClr w14:val="tx1"/>
            </w14:solidFill>
          </w14:textFill>
        </w:rPr>
        <w:t>代表建议第</w:t>
      </w:r>
      <w:r>
        <w:rPr>
          <w:rFonts w:hint="eastAsia" w:ascii="方正小标宋_GBK" w:hAnsi="方正小标宋_GBK" w:eastAsia="方正小标宋_GBK" w:cs="方正小标宋_GBK"/>
          <w:b w:val="0"/>
          <w:bCs/>
          <w:color w:val="000000" w:themeColor="text1"/>
          <w:sz w:val="44"/>
          <w:szCs w:val="44"/>
          <w:lang w:val="en-US" w:eastAsia="zh-CN"/>
          <w14:textFill>
            <w14:solidFill>
              <w14:schemeClr w14:val="tx1"/>
            </w14:solidFill>
          </w14:textFill>
        </w:rPr>
        <w:t>20240226</w:t>
      </w:r>
      <w:r>
        <w:rPr>
          <w:rFonts w:hint="eastAsia" w:ascii="方正小标宋_GBK" w:hAnsi="方正小标宋_GBK" w:eastAsia="方正小标宋_GBK" w:cs="方正小标宋_GBK"/>
          <w:b w:val="0"/>
          <w:bCs/>
          <w:color w:val="000000" w:themeColor="text1"/>
          <w:sz w:val="44"/>
          <w:szCs w:val="44"/>
          <w:lang w:eastAsia="zh-CN"/>
          <w14:textFill>
            <w14:solidFill>
              <w14:schemeClr w14:val="tx1"/>
            </w14:solidFill>
          </w14:textFill>
        </w:rPr>
        <w:t>号</w:t>
      </w:r>
      <w:r>
        <w:rPr>
          <w:rFonts w:hint="eastAsia" w:ascii="方正小标宋_GBK" w:hAnsi="方正小标宋_GBK" w:eastAsia="方正小标宋_GBK" w:cs="方正小标宋_GBK"/>
          <w:b w:val="0"/>
          <w:bCs/>
          <w:color w:val="000000" w:themeColor="text1"/>
          <w:sz w:val="44"/>
          <w:szCs w:val="44"/>
          <w14:textFill>
            <w14:solidFill>
              <w14:schemeClr w14:val="tx1"/>
            </w14:solidFill>
          </w14:textFill>
        </w:rPr>
        <w:t>的</w:t>
      </w:r>
      <w:r>
        <w:rPr>
          <w:rFonts w:hint="eastAsia" w:ascii="方正小标宋_GBK" w:hAnsi="方正小标宋_GBK" w:eastAsia="方正小标宋_GBK" w:cs="方正小标宋_GBK"/>
          <w:b w:val="0"/>
          <w:bCs/>
          <w:color w:val="000000" w:themeColor="text1"/>
          <w:sz w:val="44"/>
          <w:szCs w:val="44"/>
          <w:lang w:eastAsia="zh-CN"/>
          <w14:textFill>
            <w14:solidFill>
              <w14:schemeClr w14:val="tx1"/>
            </w14:solidFill>
          </w14:textFill>
        </w:rPr>
        <w:t>答复</w:t>
      </w:r>
    </w:p>
    <w:p>
      <w:pPr>
        <w:pStyle w:val="9"/>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sz w:val="44"/>
          <w:szCs w:val="44"/>
        </w:rPr>
      </w:pPr>
    </w:p>
    <w:p>
      <w:pPr>
        <w:pStyle w:val="9"/>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kern w:val="2"/>
          <w:sz w:val="32"/>
          <w:szCs w:val="24"/>
          <w:lang w:val="en-US" w:eastAsia="zh-CN" w:bidi="ar-SA"/>
        </w:rPr>
      </w:pPr>
      <w:r>
        <w:rPr>
          <w:rFonts w:hint="eastAsia" w:ascii="仿宋_GB2312" w:hAnsi="仿宋_GB2312" w:eastAsia="仿宋_GB2312" w:cs="仿宋_GB2312"/>
          <w:b w:val="0"/>
          <w:bCs/>
          <w:sz w:val="32"/>
          <w:szCs w:val="32"/>
        </w:rPr>
        <w:t>尊敬的</w:t>
      </w:r>
      <w:r>
        <w:rPr>
          <w:rFonts w:hint="eastAsia" w:ascii="仿宋_GB2312" w:hAnsi="仿宋_GB2312" w:eastAsia="仿宋_GB2312" w:cs="仿宋_GB2312"/>
          <w:b w:val="0"/>
          <w:bCs/>
          <w:sz w:val="32"/>
          <w:szCs w:val="32"/>
          <w:lang w:val="en-US" w:eastAsia="zh-CN"/>
        </w:rPr>
        <w:t>王晶、于波海等</w:t>
      </w:r>
      <w:r>
        <w:rPr>
          <w:rFonts w:hint="eastAsia" w:ascii="仿宋_GB2312" w:hAnsi="仿宋_GB2312" w:eastAsia="仿宋_GB2312" w:cs="仿宋_GB2312"/>
          <w:sz w:val="32"/>
          <w:szCs w:val="32"/>
        </w:rPr>
        <w:t>代表</w:t>
      </w:r>
      <w:r>
        <w:rPr>
          <w:rFonts w:hint="eastAsia" w:ascii="仿宋_GB2312" w:hAnsi="仿宋_GB2312" w:eastAsia="仿宋_GB2312" w:cs="仿宋_GB2312"/>
          <w:b w:val="0"/>
          <w:kern w:val="2"/>
          <w:sz w:val="32"/>
          <w:szCs w:val="24"/>
          <w:lang w:val="en-US" w:eastAsia="zh-CN" w:bidi="ar-SA"/>
        </w:rPr>
        <w:t>：</w:t>
      </w:r>
      <w:bookmarkStart w:id="0" w:name="_GoBack"/>
      <w:bookmarkEnd w:id="0"/>
    </w:p>
    <w:p>
      <w:pPr>
        <w:pStyle w:val="10"/>
        <w:spacing w:line="54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您</w:t>
      </w:r>
      <w:r>
        <w:rPr>
          <w:rFonts w:hint="eastAsia" w:hAnsi="仿宋_GB2312" w:cs="仿宋_GB2312"/>
          <w:sz w:val="32"/>
          <w:szCs w:val="32"/>
          <w:lang w:eastAsia="zh-CN"/>
        </w:rPr>
        <w:t>们</w:t>
      </w:r>
      <w:r>
        <w:rPr>
          <w:rFonts w:hint="eastAsia" w:ascii="仿宋_GB2312" w:hAnsi="仿宋_GB2312" w:eastAsia="仿宋_GB2312" w:cs="仿宋_GB2312"/>
          <w:sz w:val="32"/>
          <w:szCs w:val="32"/>
        </w:rPr>
        <w:t>提出的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kern w:val="2"/>
          <w:sz w:val="32"/>
          <w:szCs w:val="24"/>
          <w:lang w:val="en-US" w:eastAsia="zh-CN" w:bidi="ar-SA"/>
        </w:rPr>
        <w:t>关于加强统筹规划，提升区内商圈活力和时尚影响力的建议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val="0"/>
          <w:kern w:val="2"/>
          <w:sz w:val="32"/>
          <w:szCs w:val="24"/>
          <w:lang w:val="en-US" w:eastAsia="zh-CN" w:bidi="ar-SA"/>
        </w:rPr>
        <w:t>第20240226号</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已收悉。感谢您</w:t>
      </w:r>
      <w:r>
        <w:rPr>
          <w:rFonts w:hint="eastAsia" w:hAnsi="仿宋_GB2312" w:cs="仿宋_GB2312"/>
          <w:sz w:val="32"/>
          <w:szCs w:val="32"/>
          <w:lang w:eastAsia="zh-CN"/>
        </w:rPr>
        <w:t>们</w:t>
      </w:r>
      <w:r>
        <w:rPr>
          <w:rFonts w:hint="eastAsia" w:ascii="仿宋_GB2312" w:hAnsi="仿宋_GB2312" w:eastAsia="仿宋_GB2312" w:cs="仿宋_GB2312"/>
          <w:sz w:val="32"/>
          <w:szCs w:val="32"/>
        </w:rPr>
        <w:t>对我区城市管理工作的支持和关心，现将办理情况答复如下：</w:t>
      </w:r>
    </w:p>
    <w:p>
      <w:pPr>
        <w:pStyle w:val="2"/>
        <w:ind w:left="0" w:leftChars="0" w:firstLine="640" w:firstLineChars="200"/>
        <w:rPr>
          <w:rFonts w:hint="eastAsia" w:ascii="仿宋_GB2312" w:hAnsi="仿宋_GB2312" w:eastAsia="仿宋_GB2312" w:cs="仿宋_GB2312"/>
          <w:b w:val="0"/>
          <w:kern w:val="2"/>
          <w:sz w:val="32"/>
          <w:szCs w:val="24"/>
          <w:lang w:val="en-US" w:eastAsia="zh-CN" w:bidi="ar-SA"/>
        </w:rPr>
      </w:pPr>
      <w:r>
        <w:rPr>
          <w:rFonts w:hint="eastAsia" w:ascii="仿宋_GB2312" w:hAnsi="仿宋_GB2312" w:eastAsia="仿宋_GB2312" w:cs="仿宋_GB2312"/>
          <w:b w:val="0"/>
          <w:kern w:val="2"/>
          <w:sz w:val="32"/>
          <w:szCs w:val="24"/>
          <w:lang w:val="en-US" w:eastAsia="zh-CN" w:bidi="ar-SA"/>
        </w:rPr>
        <w:t>针对代表提出的关于福田中心商区及华强步行联动公园博物馆商区户外广告管理方面的宝贵建议，我局在业务范围内表示全力支持。福田中心商区及华强北区域作为极具潜力的宣传广告资源，其合理开发和利用对于提升区域商业氛围和推动城市形象升级具有重要意义。为此，我局将从以下几个方面进行认真考虑和有效实施。</w:t>
      </w:r>
      <w:r>
        <w:rPr>
          <w:rFonts w:hint="eastAsia" w:ascii="仿宋_GB2312" w:hAnsi="仿宋_GB2312" w:eastAsia="仿宋_GB2312" w:cs="仿宋_GB2312"/>
          <w:b/>
          <w:bCs/>
          <w:kern w:val="2"/>
          <w:sz w:val="32"/>
          <w:szCs w:val="24"/>
          <w:lang w:val="en-US" w:eastAsia="zh-CN" w:bidi="ar-SA"/>
        </w:rPr>
        <w:t>首先</w:t>
      </w:r>
      <w:r>
        <w:rPr>
          <w:rFonts w:hint="eastAsia" w:ascii="仿宋_GB2312" w:hAnsi="仿宋_GB2312" w:eastAsia="仿宋_GB2312" w:cs="仿宋_GB2312"/>
          <w:b w:val="0"/>
          <w:kern w:val="2"/>
          <w:sz w:val="32"/>
          <w:szCs w:val="24"/>
          <w:lang w:val="en-US" w:eastAsia="zh-CN" w:bidi="ar-SA"/>
        </w:rPr>
        <w:t>，加强统一规划与管理。我局将组织专业团队对两个区域现有空间进行详尽的调研和评估，科学确定适合设置广告位的地点和数量。在此基础上，制定一套统一且切实可行的规划方案，明确广告位的尺寸、风格、颜色等关键要素，确保广告设施与周边建筑及城市风貌相协调。同时，建立健全广告位管理制度，规范广告位的申请、审批、使用等流程，确保广告资源得到合理、高效利用。</w:t>
      </w:r>
      <w:r>
        <w:rPr>
          <w:rFonts w:hint="eastAsia" w:ascii="仿宋_GB2312" w:hAnsi="仿宋_GB2312" w:eastAsia="仿宋_GB2312" w:cs="仿宋_GB2312"/>
          <w:b/>
          <w:bCs/>
          <w:kern w:val="2"/>
          <w:sz w:val="32"/>
          <w:szCs w:val="24"/>
          <w:lang w:val="en-US" w:eastAsia="zh-CN" w:bidi="ar-SA"/>
        </w:rPr>
        <w:t>其次</w:t>
      </w:r>
      <w:r>
        <w:rPr>
          <w:rFonts w:hint="eastAsia" w:ascii="仿宋_GB2312" w:hAnsi="仿宋_GB2312" w:eastAsia="仿宋_GB2312" w:cs="仿宋_GB2312"/>
          <w:b w:val="0"/>
          <w:kern w:val="2"/>
          <w:sz w:val="32"/>
          <w:szCs w:val="24"/>
          <w:lang w:val="en-US" w:eastAsia="zh-CN" w:bidi="ar-SA"/>
        </w:rPr>
        <w:t>，积极探索并推行“共建共营模式”。我局将联合相关街道办主动与企业进行深入沟通，共同探讨地面出入口广告资源的共建共营方案。</w:t>
      </w:r>
      <w:r>
        <w:rPr>
          <w:rFonts w:hint="eastAsia" w:ascii="仿宋_GB2312" w:hAnsi="仿宋_GB2312" w:eastAsia="仿宋_GB2312" w:cs="仿宋_GB2312"/>
          <w:b w:val="0"/>
          <w:bCs w:val="0"/>
          <w:color w:val="000000"/>
          <w:kern w:val="2"/>
          <w:sz w:val="32"/>
          <w:szCs w:val="32"/>
          <w:lang w:val="en-US" w:eastAsia="zh-CN" w:bidi="ar-SA"/>
        </w:rPr>
        <w:t>目前，已有一家电子屏厂家，有意向在华强北主街地铁出入口其中两处格栅屏进行建设投资，相关细节正在进一步洽谈。</w:t>
      </w:r>
      <w:r>
        <w:rPr>
          <w:rFonts w:hint="eastAsia" w:ascii="仿宋_GB2312" w:hAnsi="仿宋_GB2312" w:eastAsia="仿宋_GB2312" w:cs="仿宋_GB2312"/>
          <w:b/>
          <w:bCs/>
          <w:color w:val="000000"/>
          <w:kern w:val="2"/>
          <w:sz w:val="32"/>
          <w:szCs w:val="32"/>
          <w:lang w:val="en-US" w:eastAsia="zh-CN" w:bidi="ar-SA"/>
        </w:rPr>
        <w:t>再次，</w:t>
      </w:r>
      <w:r>
        <w:rPr>
          <w:rFonts w:hint="eastAsia" w:ascii="仿宋_GB2312" w:hAnsi="仿宋_GB2312" w:eastAsia="仿宋_GB2312" w:cs="仿宋_GB2312"/>
          <w:b w:val="0"/>
          <w:bCs w:val="0"/>
          <w:kern w:val="2"/>
          <w:sz w:val="32"/>
          <w:szCs w:val="32"/>
          <w:lang w:val="en-US" w:eastAsia="zh-CN" w:bidi="ar-SA"/>
        </w:rPr>
        <w:t>积极开展市场调研，吸纳业界顶尖广告公司。</w:t>
      </w:r>
      <w:r>
        <w:rPr>
          <w:rFonts w:hint="eastAsia" w:ascii="仿宋_GB2312" w:hAnsi="仿宋_GB2312" w:eastAsia="仿宋_GB2312" w:cs="仿宋_GB2312"/>
          <w:b w:val="0"/>
          <w:bCs w:val="0"/>
          <w:color w:val="000000"/>
          <w:kern w:val="2"/>
          <w:sz w:val="32"/>
          <w:szCs w:val="32"/>
          <w:lang w:val="en-US" w:eastAsia="zh-CN" w:bidi="ar-SA"/>
        </w:rPr>
        <w:t>为更好地洞察市场动态，准确把握当前广告市场的最新需求和行业趋势。我局通过举办座谈会、现场走访介绍等多种形式深入市场进行调研，与众多广告传媒机构展开深度对话。行业领军企业上海众喜传媒广告公司对此表示了浓厚的兴趣，并明确表达了希望在福田中心区、华强北等核心区域与福田区政府展开业务合作的意愿。众喜传媒将广告作为城市美学新形态取得的成效对我区广告行业有极大促进作用，我局诚挚邀请众喜传媒入驻福田，并将全程做好保障与支持，为众喜传媒提供一站式服务。</w:t>
      </w:r>
      <w:r>
        <w:rPr>
          <w:rFonts w:hint="eastAsia" w:ascii="仿宋_GB2312" w:hAnsi="仿宋_GB2312" w:eastAsia="仿宋_GB2312" w:cs="仿宋_GB2312"/>
          <w:b/>
          <w:bCs/>
          <w:kern w:val="2"/>
          <w:sz w:val="32"/>
          <w:szCs w:val="24"/>
          <w:lang w:val="en-US" w:eastAsia="zh-CN" w:bidi="ar-SA"/>
        </w:rPr>
        <w:t>此外</w:t>
      </w:r>
      <w:r>
        <w:rPr>
          <w:rFonts w:hint="eastAsia" w:ascii="仿宋_GB2312" w:hAnsi="仿宋_GB2312" w:eastAsia="仿宋_GB2312" w:cs="仿宋_GB2312"/>
          <w:b w:val="0"/>
          <w:kern w:val="2"/>
          <w:sz w:val="32"/>
          <w:szCs w:val="24"/>
          <w:lang w:val="en-US" w:eastAsia="zh-CN" w:bidi="ar-SA"/>
        </w:rPr>
        <w:t>，我局已于2023年年底与华强北街道办紧密合作，共同鼓励商家积极设置具有独特创意的立体式招牌，同时提倡多样化的户外广告招牌设施的设置，旨在进一步提升街区的活力与烟火气，营造浓厚的商业氛围和独特的城市魅力。</w:t>
      </w:r>
    </w:p>
    <w:p>
      <w:pPr>
        <w:pStyle w:val="9"/>
        <w:spacing w:line="540" w:lineRule="exact"/>
        <w:ind w:firstLine="630"/>
        <w:rPr>
          <w:rFonts w:hint="eastAsia" w:ascii="仿宋_GB2312" w:eastAsia="仿宋_GB2312"/>
          <w:sz w:val="32"/>
          <w:szCs w:val="32"/>
        </w:rPr>
      </w:pPr>
      <w:r>
        <w:rPr>
          <w:rFonts w:hint="eastAsia" w:ascii="仿宋_GB2312" w:hAnsi="仿宋_GB2312" w:eastAsia="仿宋_GB2312" w:cs="仿宋_GB2312"/>
          <w:sz w:val="32"/>
          <w:szCs w:val="32"/>
        </w:rPr>
        <w:t>再次感谢您对我区城市管理工作的关心和支持，恳请您继续对城市管理工作多提宝贵意见。</w:t>
      </w:r>
    </w:p>
    <w:p>
      <w:pPr>
        <w:keepNext w:val="0"/>
        <w:keepLines w:val="0"/>
        <w:pageBreakBefore w:val="0"/>
        <w:kinsoku/>
        <w:wordWrap/>
        <w:overflowPunct/>
        <w:topLinePunct w:val="0"/>
        <w:autoSpaceDE/>
        <w:autoSpaceDN/>
        <w:bidi w:val="0"/>
        <w:adjustRightInd/>
        <w:snapToGrid/>
        <w:spacing w:line="560" w:lineRule="exact"/>
        <w:ind w:right="320" w:firstLine="640" w:firstLineChars="200"/>
        <w:jc w:val="left"/>
        <w:textAlignment w:val="auto"/>
        <w:rPr>
          <w:rFonts w:hint="eastAsia" w:ascii="仿宋_GB2312" w:hAnsi="仿宋_GB2312" w:eastAsia="仿宋_GB2312" w:cs="仿宋_GB2312"/>
          <w:b w:val="0"/>
          <w:kern w:val="2"/>
          <w:sz w:val="32"/>
          <w:szCs w:val="24"/>
          <w:lang w:val="en-US" w:eastAsia="zh-CN" w:bidi="ar-SA"/>
        </w:rPr>
      </w:pPr>
      <w:r>
        <w:rPr>
          <w:rFonts w:hint="eastAsia" w:ascii="仿宋_GB2312" w:hAnsi="仿宋_GB2312" w:eastAsia="仿宋_GB2312" w:cs="仿宋_GB2312"/>
          <w:b w:val="0"/>
          <w:kern w:val="2"/>
          <w:sz w:val="32"/>
          <w:szCs w:val="24"/>
          <w:lang w:val="en-US" w:eastAsia="zh-CN" w:bidi="ar-SA"/>
        </w:rPr>
        <w:t xml:space="preserve">               </w:t>
      </w:r>
    </w:p>
    <w:p>
      <w:pPr>
        <w:keepNext w:val="0"/>
        <w:keepLines w:val="0"/>
        <w:pageBreakBefore w:val="0"/>
        <w:kinsoku/>
        <w:wordWrap/>
        <w:overflowPunct/>
        <w:topLinePunct w:val="0"/>
        <w:autoSpaceDE/>
        <w:autoSpaceDN/>
        <w:bidi w:val="0"/>
        <w:adjustRightInd/>
        <w:snapToGrid/>
        <w:spacing w:line="560" w:lineRule="exact"/>
        <w:ind w:right="320" w:firstLine="640" w:firstLineChars="200"/>
        <w:jc w:val="left"/>
        <w:textAlignment w:val="auto"/>
        <w:rPr>
          <w:rFonts w:hint="eastAsia" w:ascii="仿宋_GB2312" w:hAnsi="仿宋_GB2312" w:eastAsia="仿宋_GB2312" w:cs="仿宋_GB2312"/>
          <w:b w:val="0"/>
          <w:kern w:val="2"/>
          <w:sz w:val="32"/>
          <w:szCs w:val="24"/>
          <w:lang w:val="en-US" w:eastAsia="zh-CN" w:bidi="ar-SA"/>
        </w:rPr>
      </w:pPr>
    </w:p>
    <w:p>
      <w:pPr>
        <w:keepNext w:val="0"/>
        <w:keepLines w:val="0"/>
        <w:pageBreakBefore w:val="0"/>
        <w:kinsoku/>
        <w:wordWrap/>
        <w:overflowPunct/>
        <w:topLinePunct w:val="0"/>
        <w:autoSpaceDE/>
        <w:autoSpaceDN/>
        <w:bidi w:val="0"/>
        <w:adjustRightInd/>
        <w:snapToGrid/>
        <w:spacing w:line="560" w:lineRule="exact"/>
        <w:ind w:right="320"/>
        <w:jc w:val="right"/>
        <w:textAlignment w:val="auto"/>
        <w:rPr>
          <w:rFonts w:hint="eastAsia" w:ascii="仿宋_GB2312" w:hAnsi="仿宋_GB2312" w:eastAsia="仿宋_GB2312" w:cs="仿宋_GB2312"/>
          <w:b w:val="0"/>
          <w:kern w:val="2"/>
          <w:sz w:val="32"/>
          <w:szCs w:val="24"/>
          <w:lang w:val="en-US" w:eastAsia="zh-CN" w:bidi="ar-SA"/>
        </w:rPr>
      </w:pPr>
      <w:r>
        <w:rPr>
          <w:rFonts w:hint="eastAsia" w:ascii="仿宋_GB2312" w:hAnsi="仿宋_GB2312" w:eastAsia="仿宋_GB2312" w:cs="仿宋_GB2312"/>
          <w:b w:val="0"/>
          <w:kern w:val="2"/>
          <w:sz w:val="32"/>
          <w:szCs w:val="24"/>
          <w:lang w:val="en-US" w:eastAsia="zh-CN" w:bidi="ar-SA"/>
        </w:rPr>
        <w:t>深圳市福田区城市管理和综合执法局</w:t>
      </w:r>
    </w:p>
    <w:p>
      <w:pPr>
        <w:keepNext w:val="0"/>
        <w:keepLines w:val="0"/>
        <w:pageBreakBefore w:val="0"/>
        <w:kinsoku/>
        <w:wordWrap/>
        <w:overflowPunct/>
        <w:topLinePunct w:val="0"/>
        <w:autoSpaceDE/>
        <w:autoSpaceDN/>
        <w:bidi w:val="0"/>
        <w:adjustRightInd/>
        <w:snapToGrid/>
        <w:spacing w:line="560" w:lineRule="exact"/>
        <w:ind w:right="320" w:firstLine="640" w:firstLineChars="200"/>
        <w:jc w:val="left"/>
        <w:textAlignment w:val="auto"/>
        <w:rPr>
          <w:rFonts w:hint="eastAsia" w:ascii="仿宋_GB2312" w:hAnsi="仿宋_GB2312" w:eastAsia="仿宋_GB2312" w:cs="仿宋_GB2312"/>
          <w:b w:val="0"/>
          <w:kern w:val="2"/>
          <w:sz w:val="32"/>
          <w:szCs w:val="24"/>
          <w:lang w:val="en-US" w:eastAsia="zh-CN" w:bidi="ar-SA"/>
        </w:rPr>
      </w:pPr>
      <w:r>
        <w:rPr>
          <w:rFonts w:hint="eastAsia" w:ascii="仿宋_GB2312" w:hAnsi="仿宋_GB2312" w:eastAsia="仿宋_GB2312" w:cs="仿宋_GB2312"/>
          <w:b w:val="0"/>
          <w:kern w:val="2"/>
          <w:sz w:val="32"/>
          <w:szCs w:val="24"/>
          <w:lang w:val="en-US" w:eastAsia="zh-CN" w:bidi="ar-SA"/>
        </w:rPr>
        <w:t xml:space="preserve">                          2024年6月14日</w:t>
      </w:r>
    </w:p>
    <w:p>
      <w:pPr>
        <w:keepNext w:val="0"/>
        <w:keepLines w:val="0"/>
        <w:pageBreakBefore w:val="0"/>
        <w:kinsoku/>
        <w:wordWrap/>
        <w:overflowPunct/>
        <w:topLinePunct w:val="0"/>
        <w:autoSpaceDE/>
        <w:autoSpaceDN/>
        <w:bidi w:val="0"/>
        <w:adjustRightInd/>
        <w:snapToGrid/>
        <w:spacing w:line="560" w:lineRule="exact"/>
        <w:ind w:right="320" w:firstLine="1280" w:firstLineChars="400"/>
        <w:jc w:val="left"/>
        <w:textAlignment w:val="auto"/>
        <w:rPr>
          <w:rFonts w:hint="eastAsia" w:ascii="仿宋_GB2312" w:hAnsi="仿宋_GB2312" w:eastAsia="仿宋_GB2312" w:cs="仿宋_GB2312"/>
          <w:b w:val="0"/>
          <w:kern w:val="2"/>
          <w:sz w:val="32"/>
          <w:szCs w:val="24"/>
          <w:lang w:val="en-US" w:eastAsia="zh-CN" w:bidi="ar-SA"/>
        </w:rPr>
      </w:pPr>
      <w:r>
        <w:rPr>
          <w:rFonts w:hint="eastAsia" w:ascii="仿宋_GB2312" w:hAnsi="仿宋_GB2312" w:eastAsia="仿宋_GB2312" w:cs="仿宋_GB2312"/>
          <w:b w:val="0"/>
          <w:kern w:val="2"/>
          <w:sz w:val="32"/>
          <w:szCs w:val="24"/>
          <w:lang w:val="en-US" w:eastAsia="zh-CN" w:bidi="ar-SA"/>
        </w:rPr>
        <w:t>（联系人：冯桂梅，联系电话：83120399）</w:t>
      </w:r>
    </w:p>
    <w:sectPr>
      <w:footerReference r:id="rId3" w:type="default"/>
      <w:pgSz w:w="11906" w:h="16838"/>
      <w:pgMar w:top="1440" w:right="1474" w:bottom="1440" w:left="1587"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1" w:fontKey="{CC64BEDE-4788-4AC7-B2B1-58860126BAE9}"/>
  </w:font>
  <w:font w:name="方正小标宋_GBK">
    <w:panose1 w:val="03000509000000000000"/>
    <w:charset w:val="86"/>
    <w:family w:val="auto"/>
    <w:pitch w:val="default"/>
    <w:sig w:usb0="00000000" w:usb1="00000000" w:usb2="00000000" w:usb3="00000000" w:csb0="00000000" w:csb1="00000000"/>
    <w:embedRegular r:id="rId2" w:fontKey="{3C96174C-3F9C-40F2-8204-FA185AB3F1C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yNjA1M2IzZmQyNWVlYWY5MmI4MzlhM2ZlMmE0MzcifQ=="/>
  </w:docVars>
  <w:rsids>
    <w:rsidRoot w:val="00172A27"/>
    <w:rsid w:val="012A5BD8"/>
    <w:rsid w:val="01C332FA"/>
    <w:rsid w:val="036A59B4"/>
    <w:rsid w:val="04826D2E"/>
    <w:rsid w:val="08484B64"/>
    <w:rsid w:val="0CF32576"/>
    <w:rsid w:val="0E245572"/>
    <w:rsid w:val="10077D71"/>
    <w:rsid w:val="111E1B8C"/>
    <w:rsid w:val="120B6B5E"/>
    <w:rsid w:val="127E53C9"/>
    <w:rsid w:val="138C0B82"/>
    <w:rsid w:val="14F05DB4"/>
    <w:rsid w:val="177B5642"/>
    <w:rsid w:val="1AC63FAE"/>
    <w:rsid w:val="1E51534F"/>
    <w:rsid w:val="1F3A4035"/>
    <w:rsid w:val="1FB75686"/>
    <w:rsid w:val="247E27A4"/>
    <w:rsid w:val="24A361D8"/>
    <w:rsid w:val="26FF2212"/>
    <w:rsid w:val="29373E09"/>
    <w:rsid w:val="299D58EC"/>
    <w:rsid w:val="2A7E2411"/>
    <w:rsid w:val="2B043DF1"/>
    <w:rsid w:val="2B1E2A5D"/>
    <w:rsid w:val="2B455623"/>
    <w:rsid w:val="324C56A8"/>
    <w:rsid w:val="33F34C8C"/>
    <w:rsid w:val="35180091"/>
    <w:rsid w:val="35BB6711"/>
    <w:rsid w:val="38CD161E"/>
    <w:rsid w:val="39BC3B6C"/>
    <w:rsid w:val="3BBE035C"/>
    <w:rsid w:val="40C33A32"/>
    <w:rsid w:val="430F7403"/>
    <w:rsid w:val="4941408E"/>
    <w:rsid w:val="4AF01A3B"/>
    <w:rsid w:val="4FD95BFC"/>
    <w:rsid w:val="4FFA3743"/>
    <w:rsid w:val="50D61560"/>
    <w:rsid w:val="537D78B5"/>
    <w:rsid w:val="545C3B2A"/>
    <w:rsid w:val="559F1421"/>
    <w:rsid w:val="57DB0FF4"/>
    <w:rsid w:val="58A61818"/>
    <w:rsid w:val="58B448B6"/>
    <w:rsid w:val="59D83D1B"/>
    <w:rsid w:val="5E6B76C8"/>
    <w:rsid w:val="5E8034DE"/>
    <w:rsid w:val="61B04C26"/>
    <w:rsid w:val="61FF717F"/>
    <w:rsid w:val="6AC84E7A"/>
    <w:rsid w:val="6C3C2767"/>
    <w:rsid w:val="706022A5"/>
    <w:rsid w:val="72FC44C8"/>
    <w:rsid w:val="74770716"/>
    <w:rsid w:val="766528BB"/>
    <w:rsid w:val="7CFC3E7D"/>
    <w:rsid w:val="7F6641E3"/>
    <w:rsid w:val="7FE26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4"/>
    <w:unhideWhenUsed/>
    <w:qFormat/>
    <w:uiPriority w:val="99"/>
    <w:pPr>
      <w:jc w:val="center"/>
    </w:pPr>
    <w:rPr>
      <w:rFonts w:ascii="宋体"/>
      <w:sz w:val="44"/>
    </w:rPr>
  </w:style>
  <w:style w:type="paragraph" w:styleId="4">
    <w:name w:val="Body Text First Indent"/>
    <w:basedOn w:val="3"/>
    <w:next w:val="1"/>
    <w:unhideWhenUsed/>
    <w:qFormat/>
    <w:uiPriority w:val="99"/>
    <w:pPr>
      <w:spacing w:after="120"/>
      <w:ind w:firstLine="420" w:firstLineChars="100"/>
    </w:pPr>
    <w:rPr>
      <w:rFonts w:ascii="Calibri" w:hAnsi="Calibri"/>
    </w:rPr>
  </w:style>
  <w:style w:type="paragraph" w:styleId="5">
    <w:name w:val="footer"/>
    <w:basedOn w:val="1"/>
    <w:qFormat/>
    <w:uiPriority w:val="0"/>
    <w:pPr>
      <w:tabs>
        <w:tab w:val="center" w:pos="4153"/>
        <w:tab w:val="right" w:pos="8306"/>
      </w:tabs>
      <w:snapToGrid w:val="0"/>
      <w:jc w:val="left"/>
    </w:pPr>
    <w:rPr>
      <w:sz w:val="18"/>
    </w:rPr>
  </w:style>
  <w:style w:type="character" w:customStyle="1" w:styleId="8">
    <w:name w:val="NormalCharacter"/>
    <w:qFormat/>
    <w:uiPriority w:val="0"/>
  </w:style>
  <w:style w:type="paragraph" w:customStyle="1" w:styleId="9">
    <w:name w:val="p0"/>
    <w:basedOn w:val="1"/>
    <w:qFormat/>
    <w:uiPriority w:val="0"/>
    <w:pPr>
      <w:widowControl/>
    </w:pPr>
    <w:rPr>
      <w:kern w:val="0"/>
      <w:szCs w:val="21"/>
    </w:rPr>
  </w:style>
  <w:style w:type="paragraph" w:customStyle="1" w:styleId="10">
    <w:name w:val="p17"/>
    <w:basedOn w:val="1"/>
    <w:qFormat/>
    <w:uiPriority w:val="0"/>
    <w:pPr>
      <w:widowControl/>
      <w:ind w:firstLine="630"/>
    </w:pPr>
    <w:rPr>
      <w:rFonts w:ascii="仿宋_GB2312" w:hAnsi="宋体" w:eastAsia="仿宋_GB2312" w:cs="宋体"/>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948</Words>
  <Characters>976</Characters>
  <Lines>0</Lines>
  <Paragraphs>0</Paragraphs>
  <TotalTime>1</TotalTime>
  <ScaleCrop>false</ScaleCrop>
  <LinksUpToDate>false</LinksUpToDate>
  <CharactersWithSpaces>1022</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2022-06-15T03:29:00Z</dcterms:created>
  <dc:creator>唐婕</dc:creator>
  <cp:lastModifiedBy>唐婕</cp:lastModifiedBy>
  <dcterms:modified xsi:type="dcterms:W3CDTF">2024-06-14T03:01:04Z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y fmtid="{D5CDD505-2E9C-101B-9397-08002B2CF9AE}" pid="3" name="ICV">
    <vt:lpwstr>218316C4388D41508331A0639E700456_13</vt:lpwstr>
  </property>
</Properties>
</file>