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79" w:lineRule="exact"/>
        <w:jc w:val="center"/>
        <w:textAlignment w:val="auto"/>
        <w:rPr>
          <w:rFonts w:hint="eastAsia" w:ascii="方正小标宋简体" w:hAnsi="仿宋" w:eastAsia="方正小标宋简体"/>
          <w:sz w:val="44"/>
          <w:szCs w:val="44"/>
          <w:highlight w:val="none"/>
        </w:rPr>
      </w:pPr>
      <w:r>
        <w:rPr>
          <w:rFonts w:hint="eastAsia" w:ascii="方正小标宋简体" w:hAnsi="仿宋" w:eastAsia="方正小标宋简体"/>
          <w:sz w:val="44"/>
          <w:szCs w:val="44"/>
          <w:highlight w:val="none"/>
        </w:rPr>
        <w:t>福田区城市管理和综合执法局关于深圳市</w:t>
      </w:r>
    </w:p>
    <w:p>
      <w:pPr>
        <w:keepNext w:val="0"/>
        <w:keepLines w:val="0"/>
        <w:pageBreakBefore w:val="0"/>
        <w:kinsoku/>
        <w:wordWrap/>
        <w:overflowPunct/>
        <w:topLinePunct w:val="0"/>
        <w:autoSpaceDE/>
        <w:autoSpaceDN/>
        <w:bidi w:val="0"/>
        <w:adjustRightInd/>
        <w:snapToGrid/>
        <w:spacing w:line="579" w:lineRule="exact"/>
        <w:jc w:val="center"/>
        <w:textAlignment w:val="auto"/>
        <w:rPr>
          <w:rFonts w:hint="eastAsia" w:ascii="方正小标宋简体" w:hAnsi="仿宋" w:eastAsia="方正小标宋简体"/>
          <w:sz w:val="44"/>
          <w:szCs w:val="44"/>
          <w:highlight w:val="none"/>
        </w:rPr>
      </w:pPr>
      <w:r>
        <w:rPr>
          <w:rFonts w:hint="eastAsia" w:ascii="方正小标宋简体" w:hAnsi="仿宋" w:eastAsia="方正小标宋简体"/>
          <w:sz w:val="44"/>
          <w:szCs w:val="44"/>
          <w:highlight w:val="none"/>
        </w:rPr>
        <w:t>福田区第八届人民代表大会第</w:t>
      </w:r>
      <w:r>
        <w:rPr>
          <w:rFonts w:hint="eastAsia" w:ascii="方正小标宋简体" w:hAnsi="仿宋" w:eastAsia="方正小标宋简体"/>
          <w:sz w:val="44"/>
          <w:szCs w:val="44"/>
          <w:highlight w:val="none"/>
          <w:lang w:eastAsia="zh-CN"/>
        </w:rPr>
        <w:t>四</w:t>
      </w:r>
      <w:r>
        <w:rPr>
          <w:rFonts w:hint="eastAsia" w:ascii="方正小标宋简体" w:hAnsi="仿宋" w:eastAsia="方正小标宋简体"/>
          <w:sz w:val="44"/>
          <w:szCs w:val="44"/>
          <w:highlight w:val="none"/>
        </w:rPr>
        <w:t>次会议</w:t>
      </w:r>
    </w:p>
    <w:p>
      <w:pPr>
        <w:keepNext w:val="0"/>
        <w:keepLines w:val="0"/>
        <w:pageBreakBefore w:val="0"/>
        <w:kinsoku/>
        <w:wordWrap/>
        <w:overflowPunct/>
        <w:topLinePunct w:val="0"/>
        <w:autoSpaceDE/>
        <w:autoSpaceDN/>
        <w:bidi w:val="0"/>
        <w:adjustRightInd/>
        <w:snapToGrid/>
        <w:spacing w:line="579" w:lineRule="exact"/>
        <w:jc w:val="center"/>
        <w:textAlignment w:val="auto"/>
        <w:rPr>
          <w:rFonts w:hint="eastAsia" w:ascii="方正小标宋简体" w:hAnsi="仿宋" w:eastAsia="方正小标宋简体"/>
          <w:sz w:val="44"/>
          <w:szCs w:val="44"/>
          <w:highlight w:val="none"/>
        </w:rPr>
      </w:pPr>
      <w:r>
        <w:rPr>
          <w:rFonts w:hint="eastAsia" w:ascii="方正小标宋简体" w:hAnsi="仿宋" w:eastAsia="方正小标宋简体"/>
          <w:sz w:val="44"/>
          <w:szCs w:val="44"/>
          <w:highlight w:val="none"/>
        </w:rPr>
        <w:t>代表建议第20240</w:t>
      </w:r>
      <w:r>
        <w:rPr>
          <w:rFonts w:hint="eastAsia" w:ascii="方正小标宋简体" w:hAnsi="仿宋" w:eastAsia="方正小标宋简体"/>
          <w:sz w:val="44"/>
          <w:szCs w:val="44"/>
          <w:highlight w:val="none"/>
          <w:lang w:val="en-US" w:eastAsia="zh-CN"/>
        </w:rPr>
        <w:t>245</w:t>
      </w:r>
      <w:r>
        <w:rPr>
          <w:rFonts w:hint="eastAsia" w:ascii="方正小标宋简体" w:hAnsi="仿宋" w:eastAsia="方正小标宋简体"/>
          <w:sz w:val="44"/>
          <w:szCs w:val="44"/>
          <w:highlight w:val="none"/>
        </w:rPr>
        <w:t>号的答复</w:t>
      </w:r>
    </w:p>
    <w:p>
      <w:pPr>
        <w:pStyle w:val="10"/>
        <w:keepNext w:val="0"/>
        <w:keepLines w:val="0"/>
        <w:pageBreakBefore w:val="0"/>
        <w:kinsoku/>
        <w:wordWrap/>
        <w:overflowPunct/>
        <w:topLinePunct w:val="0"/>
        <w:autoSpaceDE/>
        <w:autoSpaceDN/>
        <w:bidi w:val="0"/>
        <w:adjustRightInd/>
        <w:snapToGrid/>
        <w:spacing w:line="579" w:lineRule="exact"/>
        <w:textAlignment w:val="auto"/>
        <w:rPr>
          <w:rFonts w:hint="eastAsia" w:ascii="仿宋_GB2312" w:hAnsi="Times New Roman" w:eastAsia="仿宋_GB2312" w:cs="Times New Roman"/>
          <w:sz w:val="32"/>
          <w:szCs w:val="32"/>
        </w:rPr>
      </w:pPr>
    </w:p>
    <w:p>
      <w:pPr>
        <w:pStyle w:val="10"/>
        <w:keepNext w:val="0"/>
        <w:keepLines w:val="0"/>
        <w:pageBreakBefore w:val="0"/>
        <w:kinsoku/>
        <w:wordWrap/>
        <w:overflowPunct/>
        <w:topLinePunct w:val="0"/>
        <w:autoSpaceDE/>
        <w:autoSpaceDN/>
        <w:bidi w:val="0"/>
        <w:adjustRightInd/>
        <w:snapToGrid/>
        <w:spacing w:line="579" w:lineRule="exact"/>
        <w:textAlignment w:val="auto"/>
        <w:rPr>
          <w:rFonts w:hint="eastAsia" w:ascii="仿宋_GB2312" w:hAnsi="Times New Roman" w:eastAsia="仿宋_GB2312" w:cs="Times New Roman"/>
          <w:b w:val="0"/>
          <w:bCs w:val="0"/>
          <w:color w:val="000000"/>
          <w:kern w:val="2"/>
          <w:sz w:val="32"/>
          <w:szCs w:val="32"/>
          <w:lang w:val="en-US" w:eastAsia="zh-CN" w:bidi="ar-SA"/>
        </w:rPr>
      </w:pPr>
      <w:r>
        <w:rPr>
          <w:rFonts w:hint="eastAsia" w:ascii="仿宋_GB2312" w:hAnsi="Times New Roman" w:eastAsia="仿宋_GB2312" w:cs="Times New Roman"/>
          <w:sz w:val="32"/>
          <w:szCs w:val="32"/>
        </w:rPr>
        <w:t>尊敬的曾岭岭代表：</w:t>
      </w:r>
    </w:p>
    <w:p>
      <w:pPr>
        <w:pStyle w:val="11"/>
        <w:keepNext w:val="0"/>
        <w:keepLines w:val="0"/>
        <w:pageBreakBefore w:val="0"/>
        <w:kinsoku/>
        <w:wordWrap/>
        <w:overflowPunct/>
        <w:topLinePunct w:val="0"/>
        <w:autoSpaceDE/>
        <w:autoSpaceDN/>
        <w:bidi w:val="0"/>
        <w:adjustRightInd/>
        <w:snapToGrid/>
        <w:spacing w:line="579" w:lineRule="exact"/>
        <w:ind w:firstLine="640" w:firstLineChars="200"/>
        <w:textAlignment w:val="auto"/>
        <w:rPr>
          <w:rFonts w:hint="eastAsia" w:ascii="仿宋_GB2312" w:hAnsi="Times New Roman" w:eastAsia="仿宋_GB2312" w:cs="Times New Roman"/>
          <w:b w:val="0"/>
          <w:bCs w:val="0"/>
          <w:color w:val="000000"/>
          <w:kern w:val="2"/>
          <w:sz w:val="32"/>
          <w:szCs w:val="32"/>
          <w:lang w:val="en-US" w:eastAsia="zh-CN" w:bidi="ar-SA"/>
        </w:rPr>
      </w:pPr>
      <w:r>
        <w:rPr>
          <w:rFonts w:hint="eastAsia" w:ascii="仿宋_GB2312" w:hAnsi="Times New Roman" w:eastAsia="仿宋_GB2312" w:cs="Times New Roman"/>
          <w:b w:val="0"/>
          <w:bCs w:val="0"/>
          <w:color w:val="000000"/>
          <w:kern w:val="2"/>
          <w:sz w:val="32"/>
          <w:szCs w:val="32"/>
          <w:lang w:val="en-US" w:eastAsia="zh-CN" w:bidi="ar-SA"/>
        </w:rPr>
        <w:t>您提出的《关于高质量推进“物业城市”工作的建议》(第20240245号)已收悉。感谢您对我区城市管理工作的支持和关心，现将办理情况答复如下：</w:t>
      </w:r>
    </w:p>
    <w:p>
      <w:pPr>
        <w:keepNext w:val="0"/>
        <w:keepLines w:val="0"/>
        <w:pageBreakBefore w:val="0"/>
        <w:kinsoku/>
        <w:wordWrap/>
        <w:overflowPunct/>
        <w:topLinePunct w:val="0"/>
        <w:autoSpaceDE/>
        <w:autoSpaceDN/>
        <w:bidi w:val="0"/>
        <w:adjustRightInd/>
        <w:snapToGrid/>
        <w:spacing w:line="579" w:lineRule="exact"/>
        <w:ind w:firstLine="640" w:firstLineChars="200"/>
        <w:textAlignment w:val="auto"/>
        <w:rPr>
          <w:rFonts w:ascii="黑体" w:hAnsi="黑体" w:eastAsia="黑体" w:cs="黑体"/>
          <w:sz w:val="32"/>
          <w:szCs w:val="40"/>
        </w:rPr>
      </w:pPr>
      <w:r>
        <w:rPr>
          <w:rFonts w:hint="eastAsia" w:ascii="黑体" w:hAnsi="黑体" w:eastAsia="黑体" w:cs="黑体"/>
          <w:sz w:val="32"/>
          <w:szCs w:val="40"/>
        </w:rPr>
        <w:t>一、</w:t>
      </w:r>
      <w:r>
        <w:rPr>
          <w:rFonts w:hint="eastAsia" w:ascii="黑体" w:hAnsi="黑体" w:eastAsia="黑体" w:cs="黑体"/>
          <w:sz w:val="32"/>
          <w:szCs w:val="40"/>
          <w:lang w:val="en-US" w:eastAsia="zh-CN"/>
        </w:rPr>
        <w:t>关于加强政策支撑，系统统筹推进的建议</w:t>
      </w:r>
    </w:p>
    <w:p>
      <w:pPr>
        <w:keepNext w:val="0"/>
        <w:keepLines w:val="0"/>
        <w:pageBreakBefore w:val="0"/>
        <w:kinsoku/>
        <w:wordWrap/>
        <w:overflowPunct/>
        <w:topLinePunct w:val="0"/>
        <w:autoSpaceDE/>
        <w:autoSpaceDN/>
        <w:bidi w:val="0"/>
        <w:adjustRightInd/>
        <w:snapToGrid/>
        <w:spacing w:line="579" w:lineRule="exact"/>
        <w:ind w:left="0" w:leftChars="0" w:right="0" w:rightChars="0" w:firstLine="570" w:firstLineChars="0"/>
        <w:textAlignment w:val="auto"/>
        <w:rPr>
          <w:rFonts w:hint="eastAsia" w:ascii="仿宋_GB2312" w:hAnsi="仿宋_GB2312" w:eastAsia="仿宋_GB2312" w:cs="仿宋_GB2312"/>
          <w:b w:val="0"/>
          <w:sz w:val="32"/>
          <w:lang w:val="en-US" w:eastAsia="zh-CN"/>
        </w:rPr>
      </w:pPr>
      <w:r>
        <w:rPr>
          <w:rFonts w:hint="eastAsia" w:ascii="仿宋_GB2312" w:hAnsi="仿宋_GB2312" w:eastAsia="仿宋_GB2312" w:cs="仿宋_GB2312"/>
          <w:b w:val="0"/>
          <w:sz w:val="32"/>
          <w:lang w:val="en-US" w:eastAsia="zh-CN"/>
        </w:rPr>
        <w:t>一是强化政策支撑。我区已印发《福田区“物业城市”改革总体方案》，全面开展物业城市改革专项行动，在各业务主管部门的具体指导下，研究制定模块化、标准化、菜单化管理服务指导目录及准入、退出机制，整合多部门管理服务需求，由各街道结合自身实际委托物业服务企业作为物业城市运营商统筹管理。目前，我局正在前期试点基础上，协同财政共同研究全区统一的各街道城市管家委托授权事项范围及经费标准，实现各街道物业城市改革整体步调基本统一。</w:t>
      </w:r>
    </w:p>
    <w:p>
      <w:pPr>
        <w:keepNext w:val="0"/>
        <w:keepLines w:val="0"/>
        <w:pageBreakBefore w:val="0"/>
        <w:kinsoku/>
        <w:wordWrap/>
        <w:overflowPunct/>
        <w:topLinePunct w:val="0"/>
        <w:autoSpaceDE/>
        <w:autoSpaceDN/>
        <w:bidi w:val="0"/>
        <w:adjustRightInd/>
        <w:snapToGrid/>
        <w:spacing w:line="579" w:lineRule="exact"/>
        <w:ind w:left="0" w:leftChars="0" w:right="0" w:rightChars="0" w:firstLine="570" w:firstLineChars="0"/>
        <w:textAlignment w:val="auto"/>
        <w:rPr>
          <w:rFonts w:hint="eastAsia" w:ascii="仿宋_GB2312" w:hAnsi="仿宋_GB2312" w:eastAsia="仿宋_GB2312" w:cs="仿宋_GB2312"/>
          <w:b w:val="0"/>
          <w:sz w:val="32"/>
          <w:lang w:val="en-US" w:eastAsia="zh-CN"/>
        </w:rPr>
      </w:pPr>
      <w:r>
        <w:rPr>
          <w:rFonts w:hint="eastAsia" w:ascii="仿宋_GB2312" w:hAnsi="仿宋_GB2312" w:eastAsia="仿宋_GB2312" w:cs="仿宋_GB2312"/>
          <w:b w:val="0"/>
          <w:sz w:val="32"/>
          <w:lang w:val="en-US" w:eastAsia="zh-CN"/>
        </w:rPr>
        <w:t>二是突出规划引领方面。我区已基于“智慧住建综合平台”已完成福田区辖区物业企业、项目基础信息系统性收集工作，建成集数据收集和整理、数据服务化、数据可视化，以及加强数据有效共享和应用赋能的“数据底座”式平台。同时，我局正在立项建设全域治理物业城市“一网统管”数字平台，打破行业、部门、层级、条块、时空分割，规划推动城市公共空间各类服务管理事项一体化办理，实现“一网打尽、一屏看尽、一键办尽”。</w:t>
      </w:r>
    </w:p>
    <w:p>
      <w:pPr>
        <w:keepNext w:val="0"/>
        <w:keepLines w:val="0"/>
        <w:pageBreakBefore w:val="0"/>
        <w:numPr>
          <w:ilvl w:val="0"/>
          <w:numId w:val="1"/>
        </w:numPr>
        <w:kinsoku/>
        <w:wordWrap/>
        <w:overflowPunct/>
        <w:topLinePunct w:val="0"/>
        <w:autoSpaceDE/>
        <w:autoSpaceDN/>
        <w:bidi w:val="0"/>
        <w:adjustRightInd/>
        <w:snapToGrid/>
        <w:spacing w:line="579" w:lineRule="exact"/>
        <w:ind w:left="0" w:leftChars="0" w:right="0" w:rightChars="0" w:firstLine="570" w:firstLineChars="0"/>
        <w:textAlignment w:val="auto"/>
        <w:rPr>
          <w:rFonts w:hint="eastAsia" w:ascii="黑体" w:hAnsi="黑体" w:eastAsia="黑体" w:cs="黑体"/>
          <w:b w:val="0"/>
          <w:sz w:val="32"/>
          <w:lang w:val="en-US" w:eastAsia="zh-CN"/>
        </w:rPr>
      </w:pPr>
      <w:r>
        <w:rPr>
          <w:rFonts w:hint="eastAsia" w:ascii="黑体" w:hAnsi="黑体" w:eastAsia="黑体" w:cs="黑体"/>
          <w:b w:val="0"/>
          <w:sz w:val="32"/>
          <w:lang w:val="en-US" w:eastAsia="zh-CN"/>
        </w:rPr>
        <w:t>关于加大保障力度，拓宽融资渠道的建议</w:t>
      </w: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一是完善配套支持措施</w:t>
      </w:r>
      <w:r>
        <w:rPr>
          <w:rFonts w:hint="eastAsia" w:hAnsi="仿宋_GB2312" w:cs="仿宋_GB2312"/>
          <w:sz w:val="32"/>
          <w:szCs w:val="32"/>
          <w:lang w:eastAsia="zh-CN"/>
        </w:rPr>
        <w:t>。我区推进各街道整合常态化开展的城市治理事项，包含环境卫生、绿化管养、全域巡查管理、设施维护管养、病媒生物防治等板块，委托授权街道物业管家实施，精简相关工作的审批事项和环节，开展授权事项工作无须另行审批。</w:t>
      </w:r>
      <w:r>
        <w:rPr>
          <w:rFonts w:hint="eastAsia" w:ascii="仿宋_GB2312" w:hAnsi="仿宋_GB2312" w:eastAsia="仿宋_GB2312" w:cs="仿宋_GB2312"/>
          <w:sz w:val="32"/>
          <w:szCs w:val="32"/>
        </w:rPr>
        <w:t>区住房建设局</w:t>
      </w:r>
      <w:r>
        <w:rPr>
          <w:rFonts w:hint="eastAsia" w:hAnsi="仿宋_GB2312" w:cs="仿宋_GB2312"/>
          <w:sz w:val="32"/>
          <w:szCs w:val="32"/>
          <w:lang w:eastAsia="zh-CN"/>
        </w:rPr>
        <w:t>持续</w:t>
      </w:r>
      <w:r>
        <w:rPr>
          <w:rFonts w:hint="eastAsia" w:ascii="仿宋_GB2312" w:hAnsi="仿宋_GB2312" w:eastAsia="仿宋_GB2312" w:cs="仿宋_GB2312"/>
          <w:sz w:val="32"/>
          <w:szCs w:val="32"/>
        </w:rPr>
        <w:t>加大对老旧小区的宣传工作，积极引导业主通过业主大会决议，提高小区公共收益对物业管理的反哺力度，促进老旧小区物业管理的可持续发展。</w:t>
      </w: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sz w:val="32"/>
          <w:szCs w:val="32"/>
        </w:rPr>
      </w:pPr>
      <w:r>
        <w:rPr>
          <w:rFonts w:hint="eastAsia" w:hAnsi="仿宋_GB2312" w:cs="仿宋_GB2312"/>
          <w:sz w:val="32"/>
          <w:szCs w:val="32"/>
          <w:lang w:eastAsia="zh-CN"/>
        </w:rPr>
        <w:t>二是</w:t>
      </w:r>
      <w:r>
        <w:rPr>
          <w:rFonts w:hint="eastAsia" w:ascii="仿宋_GB2312" w:hAnsi="仿宋_GB2312" w:eastAsia="仿宋_GB2312" w:cs="仿宋_GB2312"/>
          <w:sz w:val="32"/>
          <w:szCs w:val="32"/>
        </w:rPr>
        <w:t>完善多渠道融资方式</w:t>
      </w:r>
      <w:r>
        <w:rPr>
          <w:rFonts w:hint="eastAsia" w:hAnsi="仿宋_GB2312" w:cs="仿宋_GB2312"/>
          <w:sz w:val="32"/>
          <w:szCs w:val="32"/>
          <w:lang w:eastAsia="zh-CN"/>
        </w:rPr>
        <w:t>。我</w:t>
      </w:r>
      <w:r>
        <w:rPr>
          <w:rFonts w:hint="eastAsia" w:ascii="仿宋_GB2312" w:hAnsi="仿宋_GB2312" w:eastAsia="仿宋_GB2312" w:cs="仿宋_GB2312"/>
          <w:sz w:val="32"/>
          <w:szCs w:val="32"/>
        </w:rPr>
        <w:t>区</w:t>
      </w:r>
      <w:r>
        <w:rPr>
          <w:rFonts w:hint="eastAsia" w:hAnsi="仿宋_GB2312" w:cs="仿宋_GB2312"/>
          <w:sz w:val="32"/>
          <w:szCs w:val="32"/>
          <w:lang w:eastAsia="zh-CN"/>
        </w:rPr>
        <w:t>以</w:t>
      </w:r>
      <w:r>
        <w:rPr>
          <w:rFonts w:hint="eastAsia" w:ascii="仿宋_GB2312" w:hAnsi="仿宋_GB2312" w:eastAsia="仿宋_GB2312" w:cs="仿宋_GB2312"/>
          <w:sz w:val="32"/>
          <w:szCs w:val="32"/>
        </w:rPr>
        <w:t>香蜜湖国际风投创投街区</w:t>
      </w:r>
      <w:r>
        <w:rPr>
          <w:rFonts w:hint="eastAsia" w:hAnsi="仿宋_GB2312" w:cs="仿宋_GB2312"/>
          <w:sz w:val="32"/>
          <w:szCs w:val="32"/>
          <w:lang w:eastAsia="zh-CN"/>
        </w:rPr>
        <w:t>为试点</w:t>
      </w:r>
      <w:r>
        <w:rPr>
          <w:rFonts w:hint="eastAsia" w:ascii="仿宋_GB2312" w:hAnsi="仿宋_GB2312" w:eastAsia="仿宋_GB2312" w:cs="仿宋_GB2312"/>
          <w:sz w:val="32"/>
          <w:szCs w:val="32"/>
        </w:rPr>
        <w:t>，会同市地方金融监管局发布《深圳市关于建设香蜜湖国际风投创投街区的若干措施》，对标硅谷“沙丘路”，支持福田香蜜湖率先建设国际化、市场化、品牌化的国际风投创投街区，印发《深圳市福田区支持金融业高质量发展若干措施》，出台风投创投与产投专项支持政策，构建“募、投、管、退、服”全链条政策体系，集聚优质投资机构，进一步拓宽辖区物业运营商等企业融资渠道。</w:t>
      </w: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sz w:val="32"/>
          <w:szCs w:val="32"/>
        </w:rPr>
      </w:pPr>
      <w:r>
        <w:rPr>
          <w:rFonts w:hint="eastAsia" w:hAnsi="仿宋_GB2312" w:cs="仿宋_GB2312"/>
          <w:sz w:val="32"/>
          <w:szCs w:val="32"/>
          <w:lang w:eastAsia="zh-CN"/>
        </w:rPr>
        <w:t>三</w:t>
      </w:r>
      <w:r>
        <w:rPr>
          <w:rFonts w:hint="eastAsia" w:ascii="仿宋_GB2312" w:hAnsi="仿宋_GB2312" w:eastAsia="仿宋_GB2312" w:cs="仿宋_GB2312"/>
          <w:sz w:val="32"/>
          <w:szCs w:val="32"/>
        </w:rPr>
        <w:t>是提升金融服务质效</w:t>
      </w:r>
      <w:r>
        <w:rPr>
          <w:rFonts w:hint="eastAsia" w:hAnsi="仿宋_GB2312" w:cs="仿宋_GB2312"/>
          <w:sz w:val="32"/>
          <w:szCs w:val="32"/>
          <w:lang w:eastAsia="zh-CN"/>
        </w:rPr>
        <w:t>。</w:t>
      </w:r>
      <w:r>
        <w:rPr>
          <w:rFonts w:hint="eastAsia" w:ascii="仿宋_GB2312" w:hAnsi="仿宋_GB2312" w:eastAsia="仿宋_GB2312" w:cs="仿宋_GB2312"/>
          <w:sz w:val="32"/>
          <w:szCs w:val="32"/>
        </w:rPr>
        <w:t>我</w:t>
      </w:r>
      <w:r>
        <w:rPr>
          <w:rFonts w:hint="eastAsia" w:hAnsi="仿宋_GB2312" w:cs="仿宋_GB2312"/>
          <w:sz w:val="32"/>
          <w:szCs w:val="32"/>
          <w:lang w:eastAsia="zh-CN"/>
        </w:rPr>
        <w:t>区</w:t>
      </w:r>
      <w:r>
        <w:rPr>
          <w:rFonts w:hint="eastAsia" w:ascii="仿宋_GB2312" w:hAnsi="仿宋_GB2312" w:eastAsia="仿宋_GB2312" w:cs="仿宋_GB2312"/>
          <w:sz w:val="32"/>
          <w:szCs w:val="32"/>
        </w:rPr>
        <w:t>持续落实金融服务实体经济理念，推动建立常态化银企融资对接机制，已制定《福田区常态化开展银企融资对接工作方案》并征求相关单位意见，推动全区各部门、各街道定期组织银企对接会，为物业运营商等全市各类企业提供市场化、个性化、精准化的综合金融服务。建立虚拟园区增信、线上投融资对接机制，依托福i企平台打造福田区虚拟园区线上投融资对接平台，引导银行、证券、保险等机构开发并在平台上限优质金融产品，不断提升对辖区物业运营商金融服务水平。</w:t>
      </w:r>
    </w:p>
    <w:p>
      <w:pPr>
        <w:keepNext w:val="0"/>
        <w:keepLines w:val="0"/>
        <w:pageBreakBefore w:val="0"/>
        <w:numPr>
          <w:ilvl w:val="0"/>
          <w:numId w:val="1"/>
        </w:numPr>
        <w:kinsoku/>
        <w:wordWrap/>
        <w:overflowPunct/>
        <w:topLinePunct w:val="0"/>
        <w:autoSpaceDE/>
        <w:autoSpaceDN/>
        <w:bidi w:val="0"/>
        <w:adjustRightInd/>
        <w:snapToGrid/>
        <w:spacing w:line="579" w:lineRule="exact"/>
        <w:ind w:left="0" w:leftChars="0" w:right="0" w:rightChars="0" w:firstLine="570" w:firstLineChars="0"/>
        <w:textAlignment w:val="auto"/>
        <w:rPr>
          <w:rFonts w:hint="eastAsia" w:ascii="黑体" w:hAnsi="黑体" w:eastAsia="黑体" w:cs="黑体"/>
          <w:b w:val="0"/>
          <w:sz w:val="32"/>
          <w:lang w:val="en-US" w:eastAsia="zh-CN"/>
        </w:rPr>
      </w:pPr>
      <w:r>
        <w:rPr>
          <w:rFonts w:hint="eastAsia" w:ascii="黑体" w:hAnsi="黑体" w:eastAsia="黑体" w:cs="黑体"/>
          <w:b w:val="0"/>
          <w:sz w:val="32"/>
          <w:lang w:val="en-US" w:eastAsia="zh-CN"/>
        </w:rPr>
        <w:t>关于突出精准施策，确保服务质量的建议</w:t>
      </w: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hAnsi="仿宋_GB2312" w:cs="仿宋_GB2312"/>
          <w:sz w:val="32"/>
          <w:szCs w:val="32"/>
          <w:lang w:eastAsia="zh-CN"/>
        </w:rPr>
      </w:pPr>
      <w:r>
        <w:rPr>
          <w:rFonts w:hint="eastAsia" w:hAnsi="仿宋_GB2312" w:cs="仿宋_GB2312"/>
          <w:sz w:val="32"/>
          <w:szCs w:val="32"/>
          <w:lang w:eastAsia="zh-CN"/>
        </w:rPr>
        <w:t>一是持续依托数字化城管平台统筹环卫、绿化、市容和市政设施四大板块问题一体化指挥调度，全量纳管环卫、绿化、市容、市政设施涉及的48家城市管理问题处置主体，进行问题发现、分拨、整改、监督闭环管理。</w:t>
      </w:r>
      <w:r>
        <w:rPr>
          <w:rFonts w:hint="eastAsia" w:ascii="仿宋_GB2312" w:hAnsi="仿宋_GB2312" w:eastAsia="仿宋_GB2312" w:cs="仿宋_GB2312"/>
          <w:b w:val="0"/>
          <w:sz w:val="32"/>
          <w:lang w:val="en-US" w:eastAsia="zh-CN"/>
        </w:rPr>
        <w:t>我局正在</w:t>
      </w:r>
      <w:r>
        <w:rPr>
          <w:rFonts w:hint="eastAsia" w:hAnsi="仿宋_GB2312" w:cs="仿宋_GB2312"/>
          <w:b w:val="0"/>
          <w:sz w:val="32"/>
          <w:lang w:val="en-US" w:eastAsia="zh-CN"/>
        </w:rPr>
        <w:t>基于“福镜”数字孪生及“四智融合”基础，</w:t>
      </w:r>
      <w:r>
        <w:rPr>
          <w:rFonts w:hint="eastAsia" w:ascii="仿宋_GB2312" w:hAnsi="仿宋_GB2312" w:eastAsia="仿宋_GB2312" w:cs="仿宋_GB2312"/>
          <w:b w:val="0"/>
          <w:sz w:val="32"/>
          <w:lang w:val="en-US" w:eastAsia="zh-CN"/>
        </w:rPr>
        <w:t>建设全域治理物业城市“一网统管”数字平台，</w:t>
      </w:r>
      <w:r>
        <w:rPr>
          <w:rFonts w:hint="eastAsia" w:hAnsi="仿宋_GB2312" w:cs="仿宋_GB2312"/>
          <w:b w:val="0"/>
          <w:sz w:val="32"/>
          <w:lang w:val="en-US" w:eastAsia="zh-CN"/>
        </w:rPr>
        <w:t>纳入城市公共空间目之所及所有事件、部件</w:t>
      </w:r>
      <w:r>
        <w:rPr>
          <w:rFonts w:hint="eastAsia" w:ascii="仿宋_GB2312" w:hAnsi="仿宋_GB2312" w:eastAsia="仿宋_GB2312" w:cs="仿宋_GB2312"/>
          <w:b w:val="0"/>
          <w:sz w:val="32"/>
          <w:lang w:val="en-US" w:eastAsia="zh-CN"/>
        </w:rPr>
        <w:t>，推动城市公共空间各类服务管理事项一体化办理，实现“一网打尽、一屏看尽、一键办尽”</w:t>
      </w:r>
      <w:r>
        <w:rPr>
          <w:rFonts w:hint="eastAsia" w:hAnsi="仿宋_GB2312" w:cs="仿宋_GB2312"/>
          <w:b w:val="0"/>
          <w:sz w:val="32"/>
          <w:lang w:val="en-US" w:eastAsia="zh-CN"/>
        </w:rPr>
        <w:t>，实现基于社区实景3D的可视化、智能化运营与监控，提升运营效率。</w:t>
      </w: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sz w:val="32"/>
          <w:szCs w:val="32"/>
        </w:rPr>
      </w:pPr>
      <w:r>
        <w:rPr>
          <w:rFonts w:hint="eastAsia" w:hAnsi="仿宋_GB2312" w:cs="仿宋_GB2312"/>
          <w:sz w:val="32"/>
          <w:szCs w:val="32"/>
          <w:lang w:eastAsia="zh-CN"/>
        </w:rPr>
        <w:t>二是进一步发动居民参与自治。</w:t>
      </w:r>
      <w:r>
        <w:rPr>
          <w:rFonts w:hint="eastAsia" w:ascii="仿宋_GB2312" w:hAnsi="仿宋_GB2312" w:eastAsia="仿宋_GB2312" w:cs="仿宋_GB2312"/>
          <w:sz w:val="32"/>
          <w:szCs w:val="32"/>
        </w:rPr>
        <w:t>福田区</w:t>
      </w:r>
      <w:r>
        <w:rPr>
          <w:rFonts w:hint="eastAsia" w:hAnsi="仿宋_GB2312" w:cs="仿宋_GB2312"/>
          <w:sz w:val="32"/>
          <w:szCs w:val="32"/>
          <w:lang w:eastAsia="zh-CN"/>
        </w:rPr>
        <w:t>不断</w:t>
      </w:r>
      <w:r>
        <w:rPr>
          <w:rFonts w:hint="eastAsia" w:ascii="仿宋_GB2312" w:hAnsi="仿宋_GB2312" w:eastAsia="仿宋_GB2312" w:cs="仿宋_GB2312"/>
          <w:sz w:val="32"/>
          <w:szCs w:val="32"/>
        </w:rPr>
        <w:t>深化开展小区党建提质增效行动。大力推进“支部建在小区上”，完善社区党委领导下的“小区党组织+业委会+物业服务企业”良性互动机制。探索“党建+物业”“党建+业委”等新模式新路径，构建“三方驱动、一核多元”党建工作品牌，推出一批党支部工作亮点和典型案例并开展多层次宣传；推动社区物业党建联建，发动物业党员参与小区党支部建设，在“包进联”行动中发挥党员先锋模范作用。推动46名物业党员担任小区党支部书记，145人担任小区党支部委员，成立物业项目党组织78个，99个小区物业与社区签订共建协议；深入开展老旧小区“文明美好家园”创建行动，广泛发动小区党支部、党员业主、热心业主等力量参与创建工作，构建党组织领导的</w:t>
      </w:r>
      <w:bookmarkStart w:id="0" w:name="_GoBack"/>
      <w:bookmarkEnd w:id="0"/>
      <w:r>
        <w:rPr>
          <w:rFonts w:hint="eastAsia" w:ascii="仿宋_GB2312" w:hAnsi="仿宋_GB2312" w:eastAsia="仿宋_GB2312" w:cs="仿宋_GB2312"/>
          <w:sz w:val="32"/>
          <w:szCs w:val="32"/>
        </w:rPr>
        <w:t>老旧小区共治共享治理共同体。</w:t>
      </w: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sz w:val="32"/>
          <w:szCs w:val="32"/>
        </w:rPr>
        <w:t>再次感谢您对我区城市管理工作的关心和支持，恳请您继续对城市管理工作多提宝贵意见。</w:t>
      </w: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lang w:val="en-US" w:eastAsia="zh-CN" w:bidi="ar-SA"/>
        </w:rPr>
        <w:t xml:space="preserve">     </w:t>
      </w:r>
      <w:r>
        <w:rPr>
          <w:rFonts w:hint="eastAsia" w:ascii="仿宋_GB2312" w:hAnsi="仿宋_GB2312" w:eastAsia="仿宋_GB2312" w:cs="仿宋_GB2312"/>
          <w:sz w:val="32"/>
          <w:szCs w:val="32"/>
          <w:lang w:val="en-US" w:eastAsia="zh-CN"/>
        </w:rPr>
        <w:t xml:space="preserve">          </w:t>
      </w: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福田区城市管理和综合执法局</w:t>
      </w: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2024年6月 日</w:t>
      </w: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sz w:val="32"/>
          <w:szCs w:val="32"/>
          <w:lang w:eastAsia="zh-CN"/>
        </w:rPr>
      </w:pPr>
    </w:p>
    <w:p>
      <w:pPr>
        <w:pStyle w:val="11"/>
        <w:keepNext w:val="0"/>
        <w:keepLines w:val="0"/>
        <w:pageBreakBefore w:val="0"/>
        <w:kinsoku/>
        <w:wordWrap/>
        <w:overflowPunct/>
        <w:topLinePunct w:val="0"/>
        <w:autoSpaceDE/>
        <w:autoSpaceDN/>
        <w:bidi w:val="0"/>
        <w:adjustRightInd/>
        <w:snapToGrid/>
        <w:spacing w:line="579" w:lineRule="exact"/>
        <w:ind w:left="0" w:leftChars="0"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（联系人：钞司琦，联系电话：</w:t>
      </w:r>
      <w:r>
        <w:rPr>
          <w:rFonts w:hint="eastAsia" w:ascii="仿宋_GB2312" w:hAnsi="仿宋_GB2312" w:eastAsia="仿宋_GB2312" w:cs="仿宋_GB2312"/>
          <w:sz w:val="32"/>
          <w:szCs w:val="32"/>
          <w:lang w:val="en-US" w:eastAsia="zh-CN"/>
        </w:rPr>
        <w:t>83310655</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spacing w:line="579" w:lineRule="exact"/>
        <w:ind w:left="0" w:leftChars="0" w:right="0" w:rightChars="0" w:firstLine="570" w:firstLineChars="0"/>
        <w:textAlignment w:val="auto"/>
        <w:rPr>
          <w:rFonts w:hint="eastAsia" w:ascii="仿宋_GB2312" w:hAnsi="仿宋_GB2312" w:eastAsia="仿宋_GB2312" w:cs="仿宋_GB2312"/>
          <w:b w:val="0"/>
          <w:sz w:val="32"/>
          <w:lang w:val="en-US" w:eastAsia="zh-CN"/>
        </w:rPr>
      </w:pPr>
    </w:p>
    <w:p/>
    <w:sectPr>
      <w:pgSz w:w="11906" w:h="16838"/>
      <w:pgMar w:top="2098" w:right="1474" w:bottom="1984" w:left="1587" w:header="851" w:footer="992" w:gutter="0"/>
      <w:cols w:space="0" w:num="1"/>
      <w:rtlGutter w:val="0"/>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5BC7B2"/>
    <w:multiLevelType w:val="singleLevel"/>
    <w:tmpl w:val="DF5BC7B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833206"/>
    <w:rsid w:val="038D545C"/>
    <w:rsid w:val="05833206"/>
    <w:rsid w:val="07D329DC"/>
    <w:rsid w:val="0C4607F8"/>
    <w:rsid w:val="1C10080D"/>
    <w:rsid w:val="20442827"/>
    <w:rsid w:val="24136392"/>
    <w:rsid w:val="24BB3797"/>
    <w:rsid w:val="2E3D2DC5"/>
    <w:rsid w:val="330A5E43"/>
    <w:rsid w:val="35C31494"/>
    <w:rsid w:val="3A506DAA"/>
    <w:rsid w:val="3CB33EF3"/>
    <w:rsid w:val="3D0F72CC"/>
    <w:rsid w:val="3F365918"/>
    <w:rsid w:val="436E6D46"/>
    <w:rsid w:val="442017B1"/>
    <w:rsid w:val="461F7908"/>
    <w:rsid w:val="470751B8"/>
    <w:rsid w:val="4BCA33F0"/>
    <w:rsid w:val="4D252C9E"/>
    <w:rsid w:val="51576649"/>
    <w:rsid w:val="56FB74A8"/>
    <w:rsid w:val="5BC23F63"/>
    <w:rsid w:val="5F7A54C3"/>
    <w:rsid w:val="63F35435"/>
    <w:rsid w:val="66320E8A"/>
    <w:rsid w:val="672B0571"/>
    <w:rsid w:val="7E6B5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spacing w:before="0" w:beforeAutospacing="1" w:after="0" w:afterAutospacing="1"/>
      <w:jc w:val="left"/>
      <w:outlineLvl w:val="0"/>
    </w:pPr>
    <w:rPr>
      <w:rFonts w:hint="eastAsia" w:ascii="宋体" w:hAnsi="宋体" w:eastAsia="方正小标宋简体" w:cs="宋体"/>
      <w:kern w:val="44"/>
      <w:sz w:val="44"/>
      <w:szCs w:val="48"/>
      <w:lang w:bidi="ar"/>
    </w:rPr>
  </w:style>
  <w:style w:type="paragraph" w:styleId="4">
    <w:name w:val="heading 2"/>
    <w:basedOn w:val="1"/>
    <w:next w:val="1"/>
    <w:semiHidden/>
    <w:unhideWhenUsed/>
    <w:qFormat/>
    <w:uiPriority w:val="0"/>
    <w:pPr>
      <w:keepNext/>
      <w:keepLines/>
      <w:spacing w:beforeLines="0" w:beforeAutospacing="0" w:afterLines="0" w:afterAutospacing="0" w:line="579" w:lineRule="exact"/>
      <w:ind w:firstLine="880" w:firstLineChars="200"/>
      <w:outlineLvl w:val="1"/>
    </w:pPr>
    <w:rPr>
      <w:rFonts w:ascii="Arial" w:hAnsi="Arial" w:eastAsia="黑体"/>
    </w:rPr>
  </w:style>
  <w:style w:type="paragraph" w:styleId="5">
    <w:name w:val="heading 3"/>
    <w:basedOn w:val="1"/>
    <w:next w:val="1"/>
    <w:semiHidden/>
    <w:unhideWhenUsed/>
    <w:qFormat/>
    <w:uiPriority w:val="0"/>
    <w:pPr>
      <w:keepNext/>
      <w:keepLines/>
      <w:spacing w:beforeLines="0" w:beforeAutospacing="0" w:afterLines="0" w:afterAutospacing="0" w:line="579" w:lineRule="exact"/>
      <w:ind w:firstLine="880" w:firstLineChars="200"/>
      <w:jc w:val="left"/>
      <w:outlineLvl w:val="2"/>
    </w:pPr>
    <w:rPr>
      <w:rFonts w:eastAsia="楷体_GB231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Body Text"/>
    <w:basedOn w:val="1"/>
    <w:next w:val="1"/>
    <w:unhideWhenUsed/>
    <w:qFormat/>
    <w:uiPriority w:val="99"/>
    <w:pPr>
      <w:spacing w:after="120"/>
    </w:p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0">
    <w:name w:val="p0"/>
    <w:qFormat/>
    <w:uiPriority w:val="0"/>
    <w:pPr>
      <w:widowControl/>
      <w:jc w:val="both"/>
    </w:pPr>
    <w:rPr>
      <w:rFonts w:asciiTheme="minorHAnsi" w:hAnsiTheme="minorHAnsi" w:eastAsiaTheme="minorEastAsia" w:cstheme="minorBidi"/>
      <w:kern w:val="0"/>
      <w:sz w:val="21"/>
      <w:szCs w:val="21"/>
      <w:lang w:val="en-US" w:eastAsia="zh-CN" w:bidi="ar-SA"/>
    </w:rPr>
  </w:style>
  <w:style w:type="paragraph" w:customStyle="1" w:styleId="11">
    <w:name w:val="p17"/>
    <w:qFormat/>
    <w:uiPriority w:val="0"/>
    <w:pPr>
      <w:widowControl/>
      <w:ind w:firstLine="630"/>
      <w:jc w:val="both"/>
    </w:pPr>
    <w:rPr>
      <w:rFonts w:ascii="仿宋_GB2312" w:hAnsi="宋体" w:eastAsia="仿宋_GB2312" w:cs="宋体"/>
      <w:kern w:val="0"/>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2024-06-06T08:25:00Z</dcterms:created>
  <dc:creator>FTCG</dc:creator>
  <cp:lastModifiedBy>Administrator</cp:lastModifiedBy>
  <dcterms:modified xsi:type="dcterms:W3CDTF">2026-07-10T03:28:42Z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