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Cs w:val="24"/>
        </w:rPr>
      </w:pPr>
      <w:bookmarkStart w:id="0" w:name="_GoBack"/>
      <w:r>
        <w:rPr>
          <w:szCs w:val="24"/>
        </w:rPr>
        <w:drawing>
          <wp:anchor distT="0" distB="0" distL="114300" distR="114300" simplePos="0" relativeHeight="251659264" behindDoc="0" locked="0" layoutInCell="1" allowOverlap="1">
            <wp:simplePos x="0" y="0"/>
            <wp:positionH relativeFrom="page">
              <wp:align>center</wp:align>
            </wp:positionH>
            <wp:positionV relativeFrom="page">
              <wp:align>bottom</wp:align>
            </wp:positionV>
            <wp:extent cx="6191250" cy="904875"/>
            <wp:effectExtent l="0" t="0" r="0" b="9525"/>
            <wp:wrapNone/>
            <wp:docPr id="5" name="图片 4" descr="G:\谭桌面\D盘\小谭\红头文件\已改\政府信笺.bmp政府信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G:\谭桌面\D盘\小谭\红头文件\已改\政府信笺.bmp政府信笺"/>
                    <pic:cNvPicPr>
                      <a:picLocks noChangeAspect="1"/>
                    </pic:cNvPicPr>
                  </pic:nvPicPr>
                  <pic:blipFill>
                    <a:blip r:embed="rId5"/>
                    <a:srcRect/>
                    <a:stretch>
                      <a:fillRect/>
                    </a:stretch>
                  </pic:blipFill>
                  <pic:spPr>
                    <a:xfrm>
                      <a:off x="709295" y="9756140"/>
                      <a:ext cx="6191250" cy="904875"/>
                    </a:xfrm>
                    <a:prstGeom prst="rect">
                      <a:avLst/>
                    </a:prstGeom>
                    <a:noFill/>
                    <a:ln>
                      <a:noFill/>
                    </a:ln>
                  </pic:spPr>
                </pic:pic>
              </a:graphicData>
            </a:graphic>
          </wp:anchor>
        </w:drawing>
      </w:r>
    </w:p>
    <w:p>
      <w:pPr>
        <w:jc w:val="center"/>
        <w:rPr>
          <w:rFonts w:ascii="方正小标宋简体" w:hAnsi="方正小标宋简体" w:eastAsia="方正小标宋简体" w:cs="方正小标宋简体"/>
          <w:bCs/>
          <w:sz w:val="44"/>
          <w:szCs w:val="44"/>
        </w:rPr>
      </w:pPr>
      <w:r>
        <w:rPr>
          <w:szCs w:val="24"/>
        </w:rPr>
        <w:drawing>
          <wp:anchor distT="0" distB="0" distL="114300" distR="114300" simplePos="0" relativeHeight="251660288" behindDoc="1" locked="0" layoutInCell="1" allowOverlap="1">
            <wp:simplePos x="0" y="0"/>
            <wp:positionH relativeFrom="page">
              <wp:align>center</wp:align>
            </wp:positionH>
            <wp:positionV relativeFrom="page">
              <wp:align>top</wp:align>
            </wp:positionV>
            <wp:extent cx="6472555" cy="1811020"/>
            <wp:effectExtent l="0" t="0" r="4445" b="17780"/>
            <wp:wrapNone/>
            <wp:docPr id="3" name="图片 2" descr="E:\G_Drive\QQFILE\城管局\深圳市福田区城市管理和综合执法局.jpg深圳市福田区城市管理和综合执法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E:\G_Drive\QQFILE\城管局\深圳市福田区城市管理和综合执法局.jpg深圳市福田区城市管理和综合执法局"/>
                    <pic:cNvPicPr>
                      <a:picLocks noChangeAspect="1"/>
                    </pic:cNvPicPr>
                  </pic:nvPicPr>
                  <pic:blipFill>
                    <a:blip r:embed="rId6"/>
                    <a:srcRect/>
                    <a:stretch>
                      <a:fillRect/>
                    </a:stretch>
                  </pic:blipFill>
                  <pic:spPr>
                    <a:xfrm>
                      <a:off x="720090" y="19050"/>
                      <a:ext cx="6472555" cy="1811020"/>
                    </a:xfrm>
                    <a:prstGeom prst="rect">
                      <a:avLst/>
                    </a:prstGeom>
                    <a:noFill/>
                    <a:ln>
                      <a:noFill/>
                    </a:ln>
                  </pic:spPr>
                </pic:pic>
              </a:graphicData>
            </a:graphic>
          </wp:anchor>
        </w:drawing>
      </w:r>
    </w:p>
    <w:p>
      <w:pPr>
        <w:spacing w:line="579" w:lineRule="exact"/>
        <w:jc w:val="center"/>
        <w:rPr>
          <w:rFonts w:ascii="方正小标宋简体" w:hAnsi="仿宋" w:eastAsia="方正小标宋简体"/>
          <w:sz w:val="44"/>
          <w:szCs w:val="44"/>
        </w:rPr>
      </w:pPr>
      <w:r>
        <w:rPr>
          <w:rFonts w:hint="eastAsia" w:ascii="方正小标宋简体" w:hAnsi="仿宋" w:eastAsia="方正小标宋简体"/>
          <w:sz w:val="44"/>
          <w:szCs w:val="44"/>
        </w:rPr>
        <w:t>福田区城市管理和综合执法局关于深圳市</w:t>
      </w:r>
    </w:p>
    <w:p>
      <w:pPr>
        <w:spacing w:line="579" w:lineRule="exact"/>
        <w:jc w:val="center"/>
        <w:rPr>
          <w:rFonts w:ascii="方正小标宋简体" w:hAnsi="仿宋" w:eastAsia="方正小标宋简体"/>
          <w:sz w:val="44"/>
          <w:szCs w:val="44"/>
        </w:rPr>
      </w:pPr>
      <w:r>
        <w:rPr>
          <w:rFonts w:hint="eastAsia" w:ascii="方正小标宋简体" w:hAnsi="仿宋" w:eastAsia="方正小标宋简体"/>
          <w:sz w:val="44"/>
          <w:szCs w:val="44"/>
        </w:rPr>
        <w:t>福田区第八届人民代表大会第四次会议</w:t>
      </w:r>
    </w:p>
    <w:p>
      <w:pPr>
        <w:spacing w:line="579" w:lineRule="exact"/>
        <w:jc w:val="center"/>
        <w:rPr>
          <w:rFonts w:ascii="方正小标宋简体" w:hAnsi="仿宋" w:eastAsia="方正小标宋简体"/>
          <w:sz w:val="44"/>
          <w:szCs w:val="44"/>
        </w:rPr>
      </w:pPr>
      <w:r>
        <w:rPr>
          <w:rFonts w:hint="eastAsia" w:ascii="方正小标宋简体" w:hAnsi="仿宋" w:eastAsia="方正小标宋简体"/>
          <w:sz w:val="44"/>
          <w:szCs w:val="44"/>
        </w:rPr>
        <w:t>代表建议第20240281号的答复</w:t>
      </w:r>
    </w:p>
    <w:p>
      <w:pPr>
        <w:spacing w:line="560" w:lineRule="exact"/>
        <w:jc w:val="center"/>
        <w:rPr>
          <w:b/>
          <w:sz w:val="48"/>
          <w:szCs w:val="36"/>
        </w:rPr>
      </w:pPr>
    </w:p>
    <w:p>
      <w:pPr>
        <w:pStyle w:val="8"/>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尊敬的卢杰（等）代表：</w:t>
      </w:r>
    </w:p>
    <w:p>
      <w:pPr>
        <w:pStyle w:val="9"/>
        <w:spacing w:line="560" w:lineRule="exact"/>
        <w:ind w:firstLine="640" w:firstLineChars="200"/>
        <w:rPr>
          <w:rFonts w:hAnsi="Times New Roman" w:cs="Times New Roman"/>
          <w:color w:val="000000"/>
          <w:kern w:val="2"/>
        </w:rPr>
      </w:pPr>
      <w:r>
        <w:rPr>
          <w:rFonts w:hint="eastAsia" w:hAnsi="Times New Roman" w:cs="Times New Roman"/>
          <w:color w:val="000000"/>
          <w:kern w:val="2"/>
        </w:rPr>
        <w:t>您们提出的关于《关于在河套深圳园区建造纪念驻香港部队和平进驻香港主题公园的建议》的建议已收悉。感谢您对我区城市管理工作的支持和关心，现将办理情况答复如下：</w:t>
      </w:r>
    </w:p>
    <w:p>
      <w:pPr>
        <w:pStyle w:val="9"/>
        <w:spacing w:line="560" w:lineRule="exact"/>
        <w:ind w:firstLine="640" w:firstLineChars="200"/>
        <w:rPr>
          <w:rFonts w:hAnsi="Times New Roman" w:cs="Times New Roman"/>
          <w:color w:val="000000"/>
          <w:kern w:val="2"/>
        </w:rPr>
      </w:pPr>
      <w:r>
        <w:rPr>
          <w:rFonts w:hint="eastAsia" w:hAnsi="Times New Roman" w:cs="Times New Roman"/>
          <w:color w:val="000000"/>
          <w:kern w:val="2"/>
        </w:rPr>
        <w:t>推进纪念驻香港部队和平进驻香港主题公园是传承历史、弘扬文化、提升国防意识的重要载体，是全民国防教育的重要组成部分，对提升公众的国防意识和爱国情怀起到了积极作用。因此，建设纪念驻香港部队和平进驻香港主题公园，对于加强全民国防教育、构建和谐社会具有重要意义。</w:t>
      </w:r>
    </w:p>
    <w:p>
      <w:pPr>
        <w:spacing w:line="56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一、基本情况</w:t>
      </w:r>
    </w:p>
    <w:p>
      <w:pPr>
        <w:pStyle w:val="9"/>
        <w:spacing w:line="560" w:lineRule="exact"/>
        <w:ind w:firstLine="640" w:firstLineChars="200"/>
        <w:rPr>
          <w:rFonts w:hAnsi="Times New Roman" w:cs="Times New Roman"/>
          <w:color w:val="000000"/>
          <w:kern w:val="2"/>
        </w:rPr>
      </w:pPr>
      <w:r>
        <w:rPr>
          <w:rFonts w:hint="eastAsia" w:hAnsi="Times New Roman" w:cs="Times New Roman"/>
          <w:color w:val="000000"/>
          <w:kern w:val="2"/>
        </w:rPr>
        <w:t>2023年8月8日，国务院对外发布《河套深港科技创新合作区深圳园区发展规划》的通知（下文简称《规划》），明确了河套合作区深圳园区近期到2025年、展望到2035年的发展目标，提出要在河套合作区打造深港科技创新合作先导区、国际先进科技创新规则试验区、粤港澳大湾区中试转化集聚区。作为深圳先行示范的重大平台，河套合作区将加速迈进世界级科研枢纽，有力支撑粤港澳大湾区国际科技创新中心建设，成为连接深港地区创新科技的重要引擎。</w:t>
      </w:r>
    </w:p>
    <w:p>
      <w:pPr>
        <w:pStyle w:val="9"/>
        <w:spacing w:line="560" w:lineRule="exact"/>
        <w:ind w:firstLine="640" w:firstLineChars="200"/>
        <w:rPr>
          <w:rFonts w:hAnsi="Times New Roman" w:cs="Times New Roman"/>
          <w:color w:val="000000"/>
          <w:kern w:val="2"/>
        </w:rPr>
      </w:pPr>
      <w:r>
        <w:rPr>
          <w:rFonts w:hint="eastAsia" w:hAnsi="Times New Roman" w:cs="Times New Roman"/>
          <w:color w:val="000000"/>
          <w:kern w:val="2"/>
        </w:rPr>
        <w:t>福田区作为深圳的中心城区，具有显著的“高密度、高强度、高建成度”的特征，福田区一直坚持生态营城。截至2023年，福田区共完成了13个社区公园的营建。目前，福田公园总数已由125座跃升到138座，成为名副其实的百园福田。</w:t>
      </w:r>
    </w:p>
    <w:p>
      <w:pPr>
        <w:pStyle w:val="9"/>
        <w:spacing w:line="560" w:lineRule="exact"/>
        <w:ind w:firstLine="640" w:firstLineChars="200"/>
        <w:rPr>
          <w:rFonts w:hAnsi="Times New Roman" w:cs="Times New Roman"/>
          <w:color w:val="000000"/>
          <w:kern w:val="2"/>
        </w:rPr>
      </w:pPr>
      <w:r>
        <w:rPr>
          <w:rFonts w:hint="eastAsia" w:hAnsi="Times New Roman" w:cs="Times New Roman"/>
          <w:color w:val="000000"/>
          <w:kern w:val="2"/>
        </w:rPr>
        <w:t>根据</w:t>
      </w:r>
      <w:r>
        <w:rPr>
          <w:rFonts w:hAnsi="Times New Roman" w:cs="Times New Roman"/>
          <w:color w:val="000000"/>
          <w:kern w:val="2"/>
        </w:rPr>
        <w:t>您们</w:t>
      </w:r>
      <w:r>
        <w:rPr>
          <w:rFonts w:hint="eastAsia" w:hAnsi="Times New Roman" w:cs="Times New Roman"/>
          <w:color w:val="000000"/>
          <w:kern w:val="2"/>
        </w:rPr>
        <w:t>提供</w:t>
      </w:r>
      <w:r>
        <w:rPr>
          <w:rFonts w:hAnsi="Times New Roman" w:cs="Times New Roman"/>
          <w:color w:val="000000"/>
          <w:kern w:val="2"/>
        </w:rPr>
        <w:t>的</w:t>
      </w:r>
      <w:r>
        <w:rPr>
          <w:rFonts w:hint="eastAsia" w:hAnsi="Times New Roman" w:cs="Times New Roman"/>
          <w:color w:val="000000"/>
          <w:kern w:val="2"/>
        </w:rPr>
        <w:t>三个</w:t>
      </w:r>
      <w:r>
        <w:rPr>
          <w:rFonts w:hAnsi="Times New Roman" w:cs="Times New Roman"/>
          <w:color w:val="000000"/>
          <w:kern w:val="2"/>
        </w:rPr>
        <w:t>选址方案，</w:t>
      </w:r>
      <w:r>
        <w:rPr>
          <w:rFonts w:hint="eastAsia" w:hAnsi="Times New Roman" w:cs="Times New Roman"/>
          <w:color w:val="000000"/>
          <w:kern w:val="2"/>
        </w:rPr>
        <w:t>经</w:t>
      </w:r>
      <w:r>
        <w:rPr>
          <w:rFonts w:hAnsi="Times New Roman" w:cs="Times New Roman"/>
          <w:color w:val="000000"/>
          <w:kern w:val="2"/>
        </w:rPr>
        <w:t>与我区</w:t>
      </w:r>
      <w:r>
        <w:rPr>
          <w:rFonts w:hint="eastAsia" w:hAnsi="Times New Roman" w:cs="Times New Roman"/>
          <w:color w:val="000000"/>
          <w:kern w:val="2"/>
        </w:rPr>
        <w:t>相关</w:t>
      </w:r>
      <w:r>
        <w:rPr>
          <w:rFonts w:hAnsi="Times New Roman" w:cs="Times New Roman"/>
          <w:color w:val="000000"/>
          <w:kern w:val="2"/>
        </w:rPr>
        <w:t>单位沟通，</w:t>
      </w:r>
      <w:r>
        <w:rPr>
          <w:rFonts w:hint="eastAsia" w:hAnsi="Times New Roman" w:cs="Times New Roman"/>
          <w:color w:val="000000"/>
          <w:kern w:val="2"/>
        </w:rPr>
        <w:t>结果</w:t>
      </w:r>
      <w:r>
        <w:rPr>
          <w:rFonts w:hAnsi="Times New Roman" w:cs="Times New Roman"/>
          <w:color w:val="000000"/>
          <w:kern w:val="2"/>
        </w:rPr>
        <w:t>如下：</w:t>
      </w:r>
    </w:p>
    <w:p>
      <w:pPr>
        <w:pStyle w:val="9"/>
        <w:spacing w:line="560" w:lineRule="exact"/>
        <w:ind w:firstLine="640" w:firstLineChars="200"/>
        <w:rPr>
          <w:rFonts w:hAnsi="Times New Roman" w:cs="Times New Roman"/>
          <w:color w:val="000000"/>
          <w:kern w:val="2"/>
        </w:rPr>
      </w:pPr>
      <w:r>
        <w:rPr>
          <w:rFonts w:hint="eastAsia" w:hAnsi="Times New Roman" w:cs="Times New Roman"/>
          <w:color w:val="000000"/>
          <w:kern w:val="2"/>
        </w:rPr>
        <w:t>（一）</w:t>
      </w:r>
      <w:r>
        <w:rPr>
          <w:rFonts w:hAnsi="Times New Roman" w:cs="Times New Roman"/>
          <w:color w:val="000000"/>
          <w:kern w:val="2"/>
        </w:rPr>
        <w:t>选址</w:t>
      </w:r>
      <w:r>
        <w:rPr>
          <w:rFonts w:hint="eastAsia" w:hAnsi="Times New Roman" w:cs="Times New Roman"/>
          <w:color w:val="000000"/>
          <w:kern w:val="2"/>
        </w:rPr>
        <w:t>方案</w:t>
      </w:r>
      <w:r>
        <w:rPr>
          <w:rFonts w:hAnsi="Times New Roman" w:cs="Times New Roman"/>
          <w:color w:val="000000"/>
          <w:kern w:val="2"/>
        </w:rPr>
        <w:t>一以及选址方案二为</w:t>
      </w:r>
      <w:r>
        <w:rPr>
          <w:rFonts w:hint="eastAsia" w:hAnsi="Times New Roman" w:cs="Times New Roman"/>
          <w:color w:val="000000"/>
          <w:kern w:val="2"/>
        </w:rPr>
        <w:t>深圳河干流北岸碧道建设福田段范围，全长9公里，分三段推进建设，</w:t>
      </w:r>
      <w:r>
        <w:rPr>
          <w:rFonts w:hint="eastAsia" w:hAnsi="Times New Roman" w:cs="Times New Roman"/>
          <w:color w:val="000000"/>
          <w:kern w:val="2"/>
          <w:lang w:eastAsia="zh-CN"/>
        </w:rPr>
        <w:t>由福田区水务局负责推进建设。</w:t>
      </w:r>
      <w:r>
        <w:rPr>
          <w:rFonts w:hint="eastAsia" w:hAnsi="Times New Roman" w:cs="Times New Roman"/>
          <w:color w:val="000000"/>
          <w:kern w:val="2"/>
        </w:rPr>
        <w:t>选址</w:t>
      </w:r>
      <w:r>
        <w:rPr>
          <w:rFonts w:hAnsi="Times New Roman" w:cs="Times New Roman"/>
          <w:color w:val="000000"/>
          <w:kern w:val="2"/>
        </w:rPr>
        <w:t>方案一位于</w:t>
      </w:r>
      <w:r>
        <w:rPr>
          <w:rFonts w:hint="eastAsia" w:hAnsi="Times New Roman" w:cs="Times New Roman"/>
          <w:color w:val="000000"/>
          <w:kern w:val="2"/>
          <w:lang w:eastAsia="zh-CN"/>
        </w:rPr>
        <w:t>福田</w:t>
      </w:r>
      <w:r>
        <w:rPr>
          <w:rFonts w:hint="eastAsia" w:hAnsi="Times New Roman" w:cs="Times New Roman"/>
          <w:color w:val="000000"/>
          <w:kern w:val="2"/>
        </w:rPr>
        <w:t>段（保税区国创大厦-上步码头及上步立交-鹿丹村，</w:t>
      </w:r>
      <w:r>
        <w:rPr>
          <w:rFonts w:hAnsi="Times New Roman" w:cs="Times New Roman"/>
          <w:color w:val="000000"/>
          <w:kern w:val="2"/>
        </w:rPr>
        <w:t>长度</w:t>
      </w:r>
      <w:r>
        <w:rPr>
          <w:rFonts w:hint="eastAsia" w:hAnsi="Times New Roman" w:cs="Times New Roman"/>
          <w:color w:val="000000"/>
          <w:kern w:val="2"/>
        </w:rPr>
        <w:t>5.2公里）已启动项目建议书编制</w:t>
      </w:r>
      <w:r>
        <w:rPr>
          <w:rFonts w:hint="eastAsia" w:hAnsi="Times New Roman" w:cs="Times New Roman"/>
          <w:color w:val="000000"/>
          <w:kern w:val="2"/>
          <w:lang w:eastAsia="zh-CN"/>
        </w:rPr>
        <w:t>，暂未立项</w:t>
      </w:r>
      <w:r>
        <w:rPr>
          <w:rFonts w:hint="eastAsia" w:hAnsi="Times New Roman" w:cs="Times New Roman"/>
          <w:color w:val="000000"/>
          <w:kern w:val="2"/>
        </w:rPr>
        <w:t>；选址</w:t>
      </w:r>
      <w:r>
        <w:rPr>
          <w:rFonts w:hAnsi="Times New Roman" w:cs="Times New Roman"/>
          <w:color w:val="000000"/>
          <w:kern w:val="2"/>
        </w:rPr>
        <w:t>方案二</w:t>
      </w:r>
      <w:r>
        <w:rPr>
          <w:rFonts w:hint="eastAsia" w:hAnsi="Times New Roman" w:cs="Times New Roman"/>
          <w:color w:val="000000"/>
          <w:kern w:val="2"/>
        </w:rPr>
        <w:t>位于保税区段（新洲河口-保税区国创大厦，长度2.6公里），已完成立项，</w:t>
      </w:r>
      <w:r>
        <w:rPr>
          <w:rFonts w:hAnsi="Times New Roman" w:cs="Times New Roman"/>
          <w:color w:val="000000"/>
          <w:kern w:val="2"/>
        </w:rPr>
        <w:t>目前在编制可行性研究报告</w:t>
      </w:r>
      <w:r>
        <w:rPr>
          <w:rFonts w:hint="eastAsia" w:hAnsi="Times New Roman" w:cs="Times New Roman"/>
          <w:color w:val="000000"/>
          <w:kern w:val="2"/>
        </w:rPr>
        <w:t>。碧道建设以“深港绿廊，活力碧道”为主题，方案将融入深港融合发展、深港携手治理深圳河、科技创新成果展示、红树林生态保护等主题。目前</w:t>
      </w:r>
      <w:r>
        <w:rPr>
          <w:rFonts w:hAnsi="Times New Roman" w:cs="Times New Roman"/>
          <w:color w:val="000000"/>
          <w:kern w:val="2"/>
        </w:rPr>
        <w:t>已</w:t>
      </w:r>
      <w:r>
        <w:rPr>
          <w:rFonts w:hint="eastAsia" w:hAnsi="Times New Roman" w:cs="Times New Roman"/>
          <w:color w:val="000000"/>
          <w:kern w:val="2"/>
        </w:rPr>
        <w:t>与区水务局</w:t>
      </w:r>
      <w:r>
        <w:rPr>
          <w:rFonts w:hAnsi="Times New Roman" w:cs="Times New Roman"/>
          <w:color w:val="000000"/>
          <w:kern w:val="2"/>
        </w:rPr>
        <w:t>沟通，方案可以充分融入</w:t>
      </w:r>
      <w:r>
        <w:rPr>
          <w:rFonts w:hint="eastAsia" w:hAnsi="Times New Roman" w:cs="Times New Roman"/>
          <w:color w:val="000000"/>
          <w:kern w:val="2"/>
        </w:rPr>
        <w:t>纪念驻香港部队和平进驻香港主题元素</w:t>
      </w:r>
      <w:r>
        <w:rPr>
          <w:rFonts w:hAnsi="Times New Roman" w:cs="Times New Roman"/>
          <w:color w:val="000000"/>
          <w:kern w:val="2"/>
        </w:rPr>
        <w:t>，利用</w:t>
      </w:r>
      <w:r>
        <w:rPr>
          <w:rFonts w:hint="eastAsia" w:hAnsi="Times New Roman" w:cs="Times New Roman"/>
          <w:color w:val="000000"/>
          <w:kern w:val="2"/>
        </w:rPr>
        <w:t>浮雕墙</w:t>
      </w:r>
      <w:r>
        <w:rPr>
          <w:rFonts w:hAnsi="Times New Roman" w:cs="Times New Roman"/>
          <w:color w:val="000000"/>
          <w:kern w:val="2"/>
        </w:rPr>
        <w:t>、景墙、雕塑等景观构筑物以及小品，结合碧道</w:t>
      </w:r>
      <w:r>
        <w:rPr>
          <w:rFonts w:hint="eastAsia" w:hAnsi="Times New Roman" w:cs="Times New Roman"/>
          <w:color w:val="000000"/>
          <w:kern w:val="2"/>
        </w:rPr>
        <w:t>作为游览</w:t>
      </w:r>
      <w:r>
        <w:rPr>
          <w:rFonts w:hAnsi="Times New Roman" w:cs="Times New Roman"/>
          <w:color w:val="000000"/>
          <w:kern w:val="2"/>
        </w:rPr>
        <w:t>轴线</w:t>
      </w:r>
      <w:r>
        <w:rPr>
          <w:rFonts w:hint="eastAsia" w:hAnsi="Times New Roman" w:cs="Times New Roman"/>
          <w:color w:val="000000"/>
          <w:kern w:val="2"/>
        </w:rPr>
        <w:t>，展现香港与内地同根同源、香港回归祖国历经艰难险阻以及驻香港部队和平进驻的重要历史意义，体现各重大事件的纪念性与历史性。</w:t>
      </w:r>
    </w:p>
    <w:p>
      <w:pPr>
        <w:pStyle w:val="9"/>
        <w:spacing w:line="560" w:lineRule="exact"/>
        <w:ind w:firstLine="640" w:firstLineChars="200"/>
        <w:rPr>
          <w:rFonts w:hint="eastAsia" w:hAnsi="Times New Roman" w:cs="Times New Roman"/>
          <w:color w:val="000000"/>
          <w:kern w:val="2"/>
        </w:rPr>
      </w:pPr>
      <w:r>
        <w:rPr>
          <w:rFonts w:hint="eastAsia" w:hAnsi="Times New Roman" w:cs="Times New Roman"/>
          <w:color w:val="000000"/>
          <w:kern w:val="2"/>
        </w:rPr>
        <w:t>（二）选址</w:t>
      </w:r>
      <w:r>
        <w:rPr>
          <w:rFonts w:hAnsi="Times New Roman" w:cs="Times New Roman"/>
          <w:color w:val="000000"/>
          <w:kern w:val="2"/>
        </w:rPr>
        <w:t>方案</w:t>
      </w:r>
      <w:r>
        <w:rPr>
          <w:rFonts w:hint="eastAsia" w:hAnsi="Times New Roman" w:cs="Times New Roman"/>
          <w:color w:val="000000"/>
          <w:kern w:val="2"/>
        </w:rPr>
        <w:t>三目前</w:t>
      </w:r>
      <w:r>
        <w:rPr>
          <w:rFonts w:hAnsi="Times New Roman" w:cs="Times New Roman"/>
          <w:color w:val="000000"/>
          <w:kern w:val="2"/>
        </w:rPr>
        <w:t>规划为</w:t>
      </w:r>
      <w:r>
        <w:rPr>
          <w:rFonts w:hint="eastAsia" w:hAnsi="Times New Roman" w:cs="Times New Roman"/>
          <w:color w:val="000000"/>
          <w:kern w:val="2"/>
        </w:rPr>
        <w:t>机动车停车场库用地，</w:t>
      </w:r>
      <w:r>
        <w:rPr>
          <w:rFonts w:hAnsi="Times New Roman" w:cs="Times New Roman"/>
          <w:color w:val="000000"/>
          <w:kern w:val="2"/>
        </w:rPr>
        <w:t>暂无法用于公园建设。</w:t>
      </w:r>
    </w:p>
    <w:p>
      <w:pPr>
        <w:spacing w:line="56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二、下一步工作计划</w:t>
      </w:r>
    </w:p>
    <w:p>
      <w:pPr>
        <w:spacing w:line="560" w:lineRule="exact"/>
        <w:ind w:firstLine="640" w:firstLineChars="200"/>
        <w:jc w:val="left"/>
        <w:rPr>
          <w:rFonts w:ascii="仿宋_GB2312" w:hAnsi="Calibri" w:eastAsia="仿宋_GB2312" w:cs="Times New Roman"/>
          <w:color w:val="000000"/>
          <w:sz w:val="32"/>
          <w:szCs w:val="32"/>
        </w:rPr>
      </w:pPr>
      <w:r>
        <w:rPr>
          <w:rFonts w:hint="eastAsia" w:ascii="仿宋_GB2312" w:hAnsi="Calibri" w:eastAsia="仿宋_GB2312" w:cs="Times New Roman"/>
          <w:color w:val="000000"/>
          <w:sz w:val="32"/>
          <w:szCs w:val="32"/>
        </w:rPr>
        <w:t>我局将以《支持深圳建设中国特色社会主义先行示范区意见》以及</w:t>
      </w:r>
      <w:r>
        <w:rPr>
          <w:rFonts w:hint="eastAsia" w:ascii="仿宋_GB2312" w:hAnsi="Times New Roman" w:eastAsia="仿宋_GB2312" w:cs="Times New Roman"/>
          <w:color w:val="000000"/>
          <w:sz w:val="32"/>
          <w:szCs w:val="22"/>
        </w:rPr>
        <w:t>《河套深港科</w:t>
      </w:r>
      <w:r>
        <w:rPr>
          <w:rFonts w:hint="eastAsia" w:ascii="仿宋_GB2312" w:hAnsi="Calibri" w:eastAsia="仿宋_GB2312" w:cs="Times New Roman"/>
          <w:color w:val="000000"/>
          <w:sz w:val="32"/>
          <w:szCs w:val="32"/>
        </w:rPr>
        <w:t>技创新合作区深圳园区发展规划》作为指导，遵循人大代表的意见，积极</w:t>
      </w:r>
      <w:r>
        <w:rPr>
          <w:rFonts w:ascii="仿宋_GB2312" w:hAnsi="Calibri" w:eastAsia="仿宋_GB2312" w:cs="Times New Roman"/>
          <w:color w:val="000000"/>
          <w:sz w:val="32"/>
          <w:szCs w:val="32"/>
        </w:rPr>
        <w:t>对接协调相关单位，落实</w:t>
      </w:r>
      <w:r>
        <w:rPr>
          <w:rFonts w:hint="eastAsia" w:ascii="仿宋_GB2312" w:hAnsi="Calibri" w:eastAsia="仿宋_GB2312" w:cs="Times New Roman"/>
          <w:color w:val="000000"/>
          <w:sz w:val="32"/>
          <w:szCs w:val="32"/>
        </w:rPr>
        <w:t>纪念驻香港部队和平进驻香港主题元素</w:t>
      </w:r>
      <w:r>
        <w:rPr>
          <w:rFonts w:hint="eastAsia" w:ascii="仿宋_GB2312" w:hAnsi="Calibri" w:eastAsia="仿宋_GB2312" w:cs="Times New Roman"/>
          <w:color w:val="000000"/>
          <w:sz w:val="32"/>
          <w:szCs w:val="32"/>
          <w:lang w:eastAsia="zh-CN"/>
        </w:rPr>
        <w:t>。</w:t>
      </w:r>
      <w:r>
        <w:rPr>
          <w:rFonts w:ascii="仿宋_GB2312" w:hAnsi="Calibri" w:eastAsia="仿宋_GB2312" w:cs="Times New Roman"/>
          <w:color w:val="000000"/>
          <w:sz w:val="32"/>
          <w:szCs w:val="32"/>
        </w:rPr>
        <w:t>并</w:t>
      </w:r>
      <w:r>
        <w:rPr>
          <w:rFonts w:hint="eastAsia" w:ascii="仿宋_GB2312" w:hAnsi="Calibri" w:eastAsia="仿宋_GB2312" w:cs="Times New Roman"/>
          <w:color w:val="000000"/>
          <w:sz w:val="32"/>
          <w:szCs w:val="32"/>
        </w:rPr>
        <w:t>查缺补漏，继续大力弘扬爱国主义教育</w:t>
      </w:r>
      <w:r>
        <w:rPr>
          <w:rFonts w:ascii="仿宋_GB2312" w:hAnsi="Calibri" w:eastAsia="仿宋_GB2312" w:cs="Times New Roman"/>
          <w:color w:val="000000"/>
          <w:sz w:val="32"/>
          <w:szCs w:val="32"/>
        </w:rPr>
        <w:t>主题</w:t>
      </w:r>
      <w:r>
        <w:rPr>
          <w:rFonts w:hint="eastAsia" w:ascii="仿宋_GB2312" w:hAnsi="Calibri" w:eastAsia="仿宋_GB2312" w:cs="Times New Roman"/>
          <w:color w:val="000000"/>
          <w:sz w:val="32"/>
          <w:szCs w:val="32"/>
          <w:lang w:eastAsia="zh-CN"/>
        </w:rPr>
        <w:t>，</w:t>
      </w:r>
      <w:r>
        <w:rPr>
          <w:rFonts w:hint="eastAsia" w:ascii="仿宋_GB2312" w:hAnsi="Calibri" w:eastAsia="仿宋_GB2312" w:cs="Times New Roman"/>
          <w:color w:val="000000"/>
          <w:sz w:val="32"/>
          <w:szCs w:val="32"/>
        </w:rPr>
        <w:t>充分利用河套合作区区位的优秀资源，宣扬爱国</w:t>
      </w:r>
      <w:r>
        <w:rPr>
          <w:rFonts w:ascii="仿宋_GB2312" w:hAnsi="Calibri" w:eastAsia="仿宋_GB2312" w:cs="Times New Roman"/>
          <w:color w:val="000000"/>
          <w:sz w:val="32"/>
          <w:szCs w:val="32"/>
        </w:rPr>
        <w:t>主义教育、香港回归、</w:t>
      </w:r>
      <w:r>
        <w:rPr>
          <w:rFonts w:hint="eastAsia" w:ascii="仿宋_GB2312" w:hAnsi="Calibri" w:eastAsia="仿宋_GB2312" w:cs="Times New Roman"/>
          <w:color w:val="000000"/>
          <w:sz w:val="32"/>
          <w:szCs w:val="32"/>
        </w:rPr>
        <w:t>驻香港部队和平进驻香港等</w:t>
      </w:r>
      <w:r>
        <w:rPr>
          <w:rFonts w:ascii="仿宋_GB2312" w:hAnsi="Calibri" w:eastAsia="仿宋_GB2312" w:cs="Times New Roman"/>
          <w:color w:val="000000"/>
          <w:sz w:val="32"/>
          <w:szCs w:val="32"/>
        </w:rPr>
        <w:t>主题</w:t>
      </w:r>
      <w:r>
        <w:rPr>
          <w:rFonts w:hint="eastAsia" w:ascii="仿宋_GB2312" w:hAnsi="Calibri" w:eastAsia="仿宋_GB2312" w:cs="Times New Roman"/>
          <w:color w:val="000000"/>
          <w:sz w:val="32"/>
          <w:szCs w:val="32"/>
        </w:rPr>
        <w:t>宣传。</w:t>
      </w:r>
    </w:p>
    <w:p>
      <w:pPr>
        <w:spacing w:line="560" w:lineRule="exact"/>
        <w:ind w:firstLine="640" w:firstLineChars="200"/>
        <w:jc w:val="left"/>
        <w:rPr>
          <w:rFonts w:ascii="仿宋_GB2312" w:hAnsi="Calibri" w:eastAsia="仿宋_GB2312" w:cs="Times New Roman"/>
          <w:color w:val="000000"/>
          <w:sz w:val="32"/>
          <w:szCs w:val="32"/>
        </w:rPr>
      </w:pPr>
      <w:r>
        <w:rPr>
          <w:rFonts w:hint="eastAsia" w:ascii="仿宋_GB2312" w:hAnsi="Calibri" w:eastAsia="仿宋_GB2312" w:cs="Times New Roman"/>
          <w:color w:val="000000"/>
          <w:sz w:val="32"/>
          <w:szCs w:val="32"/>
        </w:rPr>
        <w:t>同时，我局将科学规划公园建设，从香港回归</w:t>
      </w:r>
      <w:r>
        <w:rPr>
          <w:rFonts w:ascii="仿宋_GB2312" w:hAnsi="Calibri" w:eastAsia="仿宋_GB2312" w:cs="Times New Roman"/>
          <w:color w:val="000000"/>
          <w:sz w:val="32"/>
          <w:szCs w:val="32"/>
        </w:rPr>
        <w:t>主题</w:t>
      </w:r>
      <w:r>
        <w:rPr>
          <w:rFonts w:hint="eastAsia" w:ascii="仿宋_GB2312" w:hAnsi="Calibri" w:eastAsia="仿宋_GB2312" w:cs="Times New Roman"/>
          <w:color w:val="000000"/>
          <w:sz w:val="32"/>
          <w:szCs w:val="32"/>
        </w:rPr>
        <w:t>等方面着手，重点增加公园的国防</w:t>
      </w:r>
      <w:r>
        <w:rPr>
          <w:rFonts w:ascii="仿宋_GB2312" w:hAnsi="Calibri" w:eastAsia="仿宋_GB2312" w:cs="Times New Roman"/>
          <w:color w:val="000000"/>
          <w:sz w:val="32"/>
          <w:szCs w:val="32"/>
        </w:rPr>
        <w:t>教育、</w:t>
      </w:r>
      <w:r>
        <w:rPr>
          <w:rFonts w:hint="eastAsia" w:ascii="Times New Roman" w:eastAsia="华文仿宋"/>
          <w:sz w:val="32"/>
          <w:szCs w:val="22"/>
        </w:rPr>
        <w:t>双拥共建等</w:t>
      </w:r>
      <w:r>
        <w:rPr>
          <w:rFonts w:ascii="Times New Roman" w:eastAsia="华文仿宋"/>
          <w:sz w:val="32"/>
          <w:szCs w:val="22"/>
        </w:rPr>
        <w:t>内容</w:t>
      </w:r>
      <w:r>
        <w:rPr>
          <w:rFonts w:hint="eastAsia" w:ascii="仿宋_GB2312" w:hAnsi="Calibri" w:eastAsia="仿宋_GB2312" w:cs="Times New Roman"/>
          <w:color w:val="000000"/>
          <w:sz w:val="32"/>
          <w:szCs w:val="32"/>
        </w:rPr>
        <w:t>，提升公园</w:t>
      </w:r>
      <w:r>
        <w:rPr>
          <w:rFonts w:ascii="仿宋_GB2312" w:hAnsi="Calibri" w:eastAsia="仿宋_GB2312" w:cs="Times New Roman"/>
          <w:color w:val="000000"/>
          <w:sz w:val="32"/>
          <w:szCs w:val="32"/>
        </w:rPr>
        <w:t>的</w:t>
      </w:r>
      <w:r>
        <w:rPr>
          <w:rFonts w:hint="eastAsia" w:ascii="仿宋_GB2312" w:hAnsi="Calibri" w:eastAsia="仿宋_GB2312" w:cs="Times New Roman"/>
          <w:color w:val="000000"/>
          <w:sz w:val="32"/>
          <w:szCs w:val="32"/>
        </w:rPr>
        <w:t>爱国主义教育功能，计划在我区公园的改造提升公园的规划设计中，为爱国主题教育基地的建设提供绿地资源，以各种形式弘扬驻香港部队和平进驻香港纪念主题。</w:t>
      </w:r>
    </w:p>
    <w:p>
      <w:pPr>
        <w:spacing w:line="560" w:lineRule="exact"/>
        <w:ind w:firstLine="640" w:firstLineChars="200"/>
        <w:jc w:val="left"/>
        <w:rPr>
          <w:rFonts w:hint="eastAsia" w:ascii="仿宋_GB2312" w:hAnsi="Calibri" w:eastAsia="仿宋_GB2312" w:cs="Times New Roman"/>
          <w:color w:val="000000"/>
          <w:sz w:val="32"/>
          <w:szCs w:val="32"/>
        </w:rPr>
      </w:pPr>
      <w:r>
        <w:rPr>
          <w:rFonts w:hint="eastAsia" w:ascii="仿宋_GB2312" w:hAnsi="Calibri" w:eastAsia="仿宋_GB2312" w:cs="Times New Roman"/>
          <w:color w:val="000000"/>
          <w:sz w:val="32"/>
          <w:szCs w:val="32"/>
        </w:rPr>
        <w:t>再次感谢您</w:t>
      </w:r>
      <w:r>
        <w:rPr>
          <w:rFonts w:hint="eastAsia" w:ascii="仿宋_GB2312" w:hAnsi="Calibri" w:eastAsia="仿宋_GB2312" w:cs="Times New Roman"/>
          <w:color w:val="000000"/>
          <w:sz w:val="32"/>
          <w:szCs w:val="32"/>
          <w:lang w:eastAsia="zh-CN"/>
        </w:rPr>
        <w:t>们</w:t>
      </w:r>
      <w:r>
        <w:rPr>
          <w:rFonts w:hint="eastAsia" w:ascii="仿宋_GB2312" w:hAnsi="Calibri" w:eastAsia="仿宋_GB2312" w:cs="Times New Roman"/>
          <w:color w:val="000000"/>
          <w:sz w:val="32"/>
          <w:szCs w:val="32"/>
        </w:rPr>
        <w:t>对我区城市管理工作的关心和支持，恳请您</w:t>
      </w:r>
      <w:r>
        <w:rPr>
          <w:rFonts w:hint="eastAsia" w:ascii="仿宋_GB2312" w:hAnsi="Calibri" w:eastAsia="仿宋_GB2312" w:cs="Times New Roman"/>
          <w:color w:val="000000"/>
          <w:sz w:val="32"/>
          <w:szCs w:val="32"/>
          <w:lang w:eastAsia="zh-CN"/>
        </w:rPr>
        <w:t>们</w:t>
      </w:r>
      <w:r>
        <w:rPr>
          <w:rFonts w:hint="eastAsia" w:ascii="仿宋_GB2312" w:hAnsi="Calibri" w:eastAsia="仿宋_GB2312" w:cs="Times New Roman"/>
          <w:color w:val="000000"/>
          <w:sz w:val="32"/>
          <w:szCs w:val="32"/>
        </w:rPr>
        <w:t>继续对城市管理工作多提宝贵意见。</w:t>
      </w:r>
    </w:p>
    <w:p>
      <w:pPr>
        <w:pStyle w:val="2"/>
        <w:rPr>
          <w:rFonts w:hint="eastAsia" w:ascii="仿宋_GB2312" w:hAnsi="Calibri" w:eastAsia="仿宋_GB2312" w:cs="Times New Roman"/>
          <w:color w:val="000000"/>
          <w:sz w:val="32"/>
          <w:szCs w:val="32"/>
        </w:rPr>
      </w:pPr>
    </w:p>
    <w:p/>
    <w:p>
      <w:pPr>
        <w:pStyle w:val="8"/>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深圳市福田区城市管理和综合执法局</w:t>
      </w:r>
    </w:p>
    <w:p>
      <w:pPr>
        <w:pStyle w:val="8"/>
        <w:spacing w:line="560" w:lineRule="exact"/>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202</w:t>
      </w:r>
      <w:r>
        <w:rPr>
          <w:rFonts w:ascii="仿宋_GB2312" w:hAnsi="Times New Roman" w:eastAsia="仿宋_GB2312" w:cs="Times New Roman"/>
          <w:sz w:val="32"/>
          <w:szCs w:val="32"/>
        </w:rPr>
        <w:t>4</w:t>
      </w:r>
      <w:r>
        <w:rPr>
          <w:rFonts w:hint="eastAsia" w:ascii="仿宋_GB2312" w:hAnsi="Times New Roman" w:eastAsia="仿宋_GB2312" w:cs="Times New Roman"/>
          <w:sz w:val="32"/>
          <w:szCs w:val="32"/>
        </w:rPr>
        <w:t>年</w:t>
      </w:r>
      <w:r>
        <w:rPr>
          <w:rFonts w:ascii="仿宋_GB2312" w:hAnsi="Times New Roman" w:eastAsia="仿宋_GB2312" w:cs="Times New Roman"/>
          <w:sz w:val="32"/>
          <w:szCs w:val="32"/>
        </w:rPr>
        <w:t>6</w:t>
      </w:r>
      <w:r>
        <w:rPr>
          <w:rFonts w:hint="eastAsia" w:ascii="仿宋_GB2312" w:hAnsi="Times New Roman" w:eastAsia="仿宋_GB2312" w:cs="Times New Roman"/>
          <w:sz w:val="32"/>
          <w:szCs w:val="32"/>
        </w:rPr>
        <w:t>月</w:t>
      </w:r>
      <w:r>
        <w:rPr>
          <w:rFonts w:ascii="仿宋_GB2312" w:hAnsi="Times New Roman" w:eastAsia="仿宋_GB2312" w:cs="Times New Roman"/>
          <w:sz w:val="32"/>
          <w:szCs w:val="32"/>
        </w:rPr>
        <w:t>10</w:t>
      </w:r>
      <w:r>
        <w:rPr>
          <w:rFonts w:hint="eastAsia" w:ascii="仿宋_GB2312" w:hAnsi="Times New Roman" w:eastAsia="仿宋_GB2312" w:cs="Times New Roman"/>
          <w:sz w:val="32"/>
          <w:szCs w:val="32"/>
        </w:rPr>
        <w:t>日</w:t>
      </w:r>
    </w:p>
    <w:p>
      <w:pPr>
        <w:spacing w:line="560" w:lineRule="exact"/>
        <w:ind w:firstLine="1600" w:firstLineChars="500"/>
        <w:rPr>
          <w:rFonts w:ascii="仿宋_GB2312" w:hAnsi="仿宋_GB2312" w:eastAsia="仿宋_GB2312" w:cs="仿宋_GB2312"/>
          <w:sz w:val="32"/>
          <w:szCs w:val="32"/>
        </w:rPr>
      </w:pPr>
    </w:p>
    <w:p>
      <w:pPr>
        <w:spacing w:line="560" w:lineRule="exact"/>
        <w:ind w:firstLine="1600" w:firstLineChars="500"/>
      </w:pPr>
      <w:r>
        <w:rPr>
          <w:rFonts w:hint="eastAsia" w:ascii="仿宋_GB2312" w:hAnsi="仿宋_GB2312" w:eastAsia="仿宋_GB2312" w:cs="仿宋_GB2312"/>
          <w:sz w:val="32"/>
          <w:szCs w:val="32"/>
        </w:rPr>
        <w:t>（联系人：张之浩，联系电话：</w:t>
      </w:r>
      <w:r>
        <w:rPr>
          <w:rFonts w:ascii="仿宋_GB2312" w:hAnsi="仿宋_GB2312" w:eastAsia="仿宋_GB2312" w:cs="仿宋_GB2312"/>
          <w:sz w:val="32"/>
          <w:szCs w:val="32"/>
        </w:rPr>
        <w:t>18023008030</w:t>
      </w:r>
      <w:r>
        <w:rPr>
          <w:rFonts w:hint="eastAsia" w:ascii="仿宋_GB2312" w:hAnsi="仿宋_GB2312" w:eastAsia="仿宋_GB2312" w:cs="仿宋_GB2312"/>
          <w:sz w:val="32"/>
          <w:szCs w:val="32"/>
        </w:rPr>
        <w:t>）</w:t>
      </w:r>
    </w:p>
    <w:bookmarkEnd w:id="0"/>
    <w:sectPr>
      <w:footerReference r:id="rId3" w:type="default"/>
      <w:pgSz w:w="11906" w:h="16838"/>
      <w:pgMar w:top="2098" w:right="1474" w:bottom="1984" w:left="1587" w:header="851" w:footer="136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9F0AD7"/>
    <w:rsid w:val="7FEF8F55"/>
    <w:rsid w:val="FF9F0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next w:val="1"/>
    <w:qFormat/>
    <w:uiPriority w:val="0"/>
    <w:pPr>
      <w:widowControl w:val="0"/>
      <w:spacing w:after="120"/>
      <w:ind w:firstLine="420" w:firstLineChars="100"/>
      <w:jc w:val="center"/>
    </w:pPr>
    <w:rPr>
      <w:rFonts w:ascii="Calibri" w:hAnsi="Calibri" w:eastAsiaTheme="minorEastAsia" w:cstheme="minorBidi"/>
      <w:kern w:val="2"/>
      <w:sz w:val="44"/>
      <w:szCs w:val="22"/>
      <w:lang w:val="en-US" w:eastAsia="zh-CN" w:bidi="ar-SA"/>
    </w:rPr>
  </w:style>
  <w:style w:type="paragraph" w:styleId="3">
    <w:name w:val="Body Text"/>
    <w:next w:val="1"/>
    <w:qFormat/>
    <w:uiPriority w:val="0"/>
    <w:pPr>
      <w:widowControl w:val="0"/>
      <w:spacing w:after="120"/>
      <w:jc w:val="both"/>
    </w:pPr>
    <w:rPr>
      <w:rFonts w:asciiTheme="minorHAnsi" w:hAnsiTheme="minorHAnsi" w:eastAsiaTheme="minorEastAsia" w:cstheme="minorBidi"/>
      <w:kern w:val="2"/>
      <w:sz w:val="21"/>
      <w:szCs w:val="22"/>
      <w:lang w:val="en-US" w:eastAsia="zh-CN" w:bidi="ar-SA"/>
    </w:rPr>
  </w:style>
  <w:style w:type="paragraph" w:styleId="4">
    <w:name w:val="footer"/>
    <w:unhideWhenUsed/>
    <w:qFormat/>
    <w:uiPriority w:val="99"/>
    <w:pPr>
      <w:widowControl w:val="0"/>
      <w:tabs>
        <w:tab w:val="center" w:pos="4153"/>
        <w:tab w:val="right" w:pos="8306"/>
      </w:tabs>
      <w:snapToGrid w:val="0"/>
      <w:jc w:val="left"/>
    </w:pPr>
    <w:rPr>
      <w:rFonts w:asciiTheme="minorHAnsi" w:hAnsiTheme="minorHAnsi" w:eastAsiaTheme="minorEastAsia" w:cstheme="minorBidi"/>
      <w:kern w:val="2"/>
      <w:sz w:val="18"/>
      <w:szCs w:val="18"/>
      <w:lang w:val="en-US" w:eastAsia="zh-CN" w:bidi="ar-SA"/>
    </w:rPr>
  </w:style>
  <w:style w:type="paragraph" w:styleId="5">
    <w:name w:val="header"/>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heme="minorHAnsi" w:hAnsiTheme="minorHAnsi" w:eastAsiaTheme="minorEastAsia" w:cstheme="minorBidi"/>
      <w:kern w:val="2"/>
      <w:sz w:val="18"/>
      <w:szCs w:val="24"/>
      <w:lang w:val="en-US" w:eastAsia="zh-CN" w:bidi="ar-SA"/>
    </w:rPr>
  </w:style>
  <w:style w:type="paragraph" w:customStyle="1" w:styleId="8">
    <w:name w:val="p0"/>
    <w:qFormat/>
    <w:uiPriority w:val="0"/>
    <w:pPr>
      <w:widowControl/>
      <w:jc w:val="both"/>
    </w:pPr>
    <w:rPr>
      <w:rFonts w:asciiTheme="minorHAnsi" w:hAnsiTheme="minorHAnsi" w:eastAsiaTheme="minorEastAsia" w:cstheme="minorBidi"/>
      <w:kern w:val="0"/>
      <w:sz w:val="21"/>
      <w:szCs w:val="21"/>
      <w:lang w:val="en-US" w:eastAsia="zh-CN" w:bidi="ar-SA"/>
    </w:rPr>
  </w:style>
  <w:style w:type="paragraph" w:customStyle="1" w:styleId="9">
    <w:name w:val="p17"/>
    <w:qFormat/>
    <w:uiPriority w:val="0"/>
    <w:pPr>
      <w:widowControl/>
      <w:ind w:firstLine="630"/>
      <w:jc w:val="both"/>
    </w:pPr>
    <w:rPr>
      <w:rFonts w:ascii="仿宋_GB2312" w:hAnsi="宋体" w:eastAsia="仿宋_GB2312" w:cs="宋体"/>
      <w:kern w:val="0"/>
      <w:sz w:val="32"/>
      <w:szCs w:val="3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Office_11.8.2.11851_F1E327BC-269C-435d-A152-05C5408002CA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2024-06-19T18:04:00Z</dcterms:created>
  <dc:creator>zhongyan</dc:creator>
  <cp:lastModifiedBy>钟燕</cp:lastModifiedBy>
  <dcterms:modified xsi:type="dcterms:W3CDTF">2024-06-19T18:04:52Z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2052-11.8.2.11851</vt:lpwstr>
  </property>
  <property fmtid="{D5CDD505-2E9C-101B-9397-08002B2CF9AE}" pid="3" name="ICV">
    <vt:lpwstr>8FF5506300FDFB6D1BAD7266429CBEAB</vt:lpwstr>
  </property>
</Properties>
</file>