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eastAsiaTheme="minorEastAsia" w:cstheme="minorBidi"/>
        </w:rPr>
      </w:pPr>
      <w:bookmarkStart w:id="0" w:name="_GoBack"/>
      <w:r>
        <w:rPr>
          <w:rFonts w:asciiTheme="minorHAnsi" w:hAnsiTheme="minorHAnsi" w:eastAsiaTheme="minorEastAsia" w:cstheme="minorBidi"/>
        </w:rPr>
        <w:drawing>
          <wp:anchor distT="0" distB="0" distL="114300" distR="114300" simplePos="0" relativeHeight="251659264" behindDoc="0" locked="0" layoutInCell="1" allowOverlap="1">
            <wp:simplePos x="0" y="0"/>
            <wp:positionH relativeFrom="page">
              <wp:align>center</wp:align>
            </wp:positionH>
            <wp:positionV relativeFrom="page">
              <wp:align>bottom</wp:align>
            </wp:positionV>
            <wp:extent cx="6191250" cy="904875"/>
            <wp:effectExtent l="0" t="0" r="0" b="9525"/>
            <wp:wrapNone/>
            <wp:docPr id="5" name="图片 4" descr="G:\谭桌面\D盘\小谭\红头文件\已改\政府信笺.bmp政府信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谭桌面\D盘\小谭\红头文件\已改\政府信笺.bmp政府信笺"/>
                    <pic:cNvPicPr>
                      <a:picLocks noChangeAspect="1"/>
                    </pic:cNvPicPr>
                  </pic:nvPicPr>
                  <pic:blipFill>
                    <a:blip r:embed="rId7"/>
                    <a:srcRect/>
                    <a:stretch>
                      <a:fillRect/>
                    </a:stretch>
                  </pic:blipFill>
                  <pic:spPr>
                    <a:xfrm>
                      <a:off x="709295" y="9756140"/>
                      <a:ext cx="6191250" cy="904875"/>
                    </a:xfrm>
                    <a:prstGeom prst="rect">
                      <a:avLst/>
                    </a:prstGeom>
                    <a:noFill/>
                    <a:ln>
                      <a:noFill/>
                    </a:ln>
                  </pic:spPr>
                </pic:pic>
              </a:graphicData>
            </a:graphic>
          </wp:anchor>
        </w:drawing>
      </w:r>
    </w:p>
    <w:p>
      <w:pPr>
        <w:jc w:val="center"/>
        <w:rPr>
          <w:rFonts w:hint="eastAsia" w:ascii="仿宋_GB2312" w:hAnsi="Times New Roman" w:eastAsia="仿宋_GB2312" w:cs="Times New Roman"/>
          <w:sz w:val="32"/>
        </w:rPr>
      </w:pPr>
      <w:r>
        <w:rPr>
          <w:rFonts w:asciiTheme="minorHAnsi" w:hAnsiTheme="minorHAnsi" w:eastAsiaTheme="minorEastAsia" w:cstheme="minorBidi"/>
        </w:rPr>
        <w:drawing>
          <wp:anchor distT="0" distB="0" distL="114300" distR="114300" simplePos="0" relativeHeight="251660288" behindDoc="1" locked="0" layoutInCell="1" allowOverlap="1">
            <wp:simplePos x="0" y="0"/>
            <wp:positionH relativeFrom="page">
              <wp:align>center</wp:align>
            </wp:positionH>
            <wp:positionV relativeFrom="page">
              <wp:align>top</wp:align>
            </wp:positionV>
            <wp:extent cx="6472555" cy="1811020"/>
            <wp:effectExtent l="0" t="0" r="4445" b="17780"/>
            <wp:wrapNone/>
            <wp:docPr id="3" name="图片 2" descr="E:\G_Drive\QQFILE\城管局\深圳市福田区城市管理和综合执法局.jpg深圳市福田区城市管理和综合执法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E:\G_Drive\QQFILE\城管局\深圳市福田区城市管理和综合执法局.jpg深圳市福田区城市管理和综合执法局"/>
                    <pic:cNvPicPr>
                      <a:picLocks noChangeAspect="1"/>
                    </pic:cNvPicPr>
                  </pic:nvPicPr>
                  <pic:blipFill>
                    <a:blip r:embed="rId8"/>
                    <a:srcRect/>
                    <a:stretch>
                      <a:fillRect/>
                    </a:stretch>
                  </pic:blipFill>
                  <pic:spPr>
                    <a:xfrm>
                      <a:off x="720090" y="19050"/>
                      <a:ext cx="6472555" cy="1811020"/>
                    </a:xfrm>
                    <a:prstGeom prst="rect">
                      <a:avLst/>
                    </a:prstGeom>
                    <a:noFill/>
                    <a:ln>
                      <a:noFill/>
                    </a:ln>
                  </pic:spPr>
                </pic:pic>
              </a:graphicData>
            </a:graphic>
          </wp:anchor>
        </w:drawing>
      </w:r>
    </w:p>
    <w:p>
      <w:pPr>
        <w:pStyle w:val="7"/>
        <w:keepNext w:val="0"/>
        <w:keepLines w:val="0"/>
        <w:pageBreakBefore w:val="0"/>
        <w:kinsoku/>
        <w:wordWrap/>
        <w:overflowPunct/>
        <w:topLinePunct w:val="0"/>
        <w:bidi w:val="0"/>
        <w:snapToGrid/>
        <w:spacing w:line="579" w:lineRule="exact"/>
        <w:ind w:right="0"/>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福田区城市管理</w:t>
      </w:r>
      <w:r>
        <w:rPr>
          <w:rFonts w:hint="eastAsia" w:ascii="方正小标宋简体" w:hAnsi="方正小标宋简体" w:eastAsia="方正小标宋简体" w:cs="方正小标宋简体"/>
          <w:b w:val="0"/>
          <w:bCs/>
          <w:sz w:val="44"/>
          <w:szCs w:val="44"/>
          <w:lang w:eastAsia="zh-CN"/>
        </w:rPr>
        <w:t>和综合执法</w:t>
      </w:r>
      <w:r>
        <w:rPr>
          <w:rFonts w:hint="eastAsia" w:ascii="方正小标宋简体" w:hAnsi="方正小标宋简体" w:eastAsia="方正小标宋简体" w:cs="方正小标宋简体"/>
          <w:b w:val="0"/>
          <w:bCs/>
          <w:sz w:val="44"/>
          <w:szCs w:val="44"/>
        </w:rPr>
        <w:t>局关于</w:t>
      </w:r>
      <w:r>
        <w:rPr>
          <w:rFonts w:hint="eastAsia" w:ascii="方正小标宋简体" w:hAnsi="方正小标宋简体" w:eastAsia="方正小标宋简体" w:cs="方正小标宋简体"/>
          <w:b w:val="0"/>
          <w:bCs/>
          <w:sz w:val="44"/>
          <w:szCs w:val="44"/>
          <w:lang w:eastAsia="zh-CN"/>
        </w:rPr>
        <w:t>福田区</w:t>
      </w:r>
    </w:p>
    <w:p>
      <w:pPr>
        <w:pStyle w:val="7"/>
        <w:keepNext w:val="0"/>
        <w:keepLines w:val="0"/>
        <w:pageBreakBefore w:val="0"/>
        <w:kinsoku/>
        <w:wordWrap/>
        <w:overflowPunct/>
        <w:topLinePunct w:val="0"/>
        <w:bidi w:val="0"/>
        <w:snapToGrid/>
        <w:spacing w:line="579" w:lineRule="exact"/>
        <w:ind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八</w:t>
      </w:r>
      <w:r>
        <w:rPr>
          <w:rFonts w:hint="eastAsia" w:ascii="方正小标宋简体" w:hAnsi="方正小标宋简体" w:eastAsia="方正小标宋简体" w:cs="方正小标宋简体"/>
          <w:b w:val="0"/>
          <w:bCs/>
          <w:sz w:val="44"/>
          <w:szCs w:val="44"/>
        </w:rPr>
        <w:t>届人民代表大会第</w:t>
      </w:r>
      <w:r>
        <w:rPr>
          <w:rFonts w:hint="eastAsia" w:ascii="方正小标宋简体" w:hAnsi="方正小标宋简体" w:eastAsia="方正小标宋简体" w:cs="方正小标宋简体"/>
          <w:b w:val="0"/>
          <w:bCs/>
          <w:sz w:val="44"/>
          <w:szCs w:val="44"/>
          <w:lang w:val="en-US" w:eastAsia="zh-CN"/>
        </w:rPr>
        <w:t>四</w:t>
      </w:r>
      <w:r>
        <w:rPr>
          <w:rFonts w:hint="eastAsia" w:ascii="方正小标宋简体" w:hAnsi="方正小标宋简体" w:eastAsia="方正小标宋简体" w:cs="方正小标宋简体"/>
          <w:b w:val="0"/>
          <w:bCs/>
          <w:sz w:val="44"/>
          <w:szCs w:val="44"/>
        </w:rPr>
        <w:t>次会议代表</w:t>
      </w:r>
    </w:p>
    <w:p>
      <w:pPr>
        <w:pStyle w:val="7"/>
        <w:keepNext w:val="0"/>
        <w:keepLines w:val="0"/>
        <w:pageBreakBefore w:val="0"/>
        <w:kinsoku/>
        <w:wordWrap/>
        <w:overflowPunct/>
        <w:topLinePunct w:val="0"/>
        <w:bidi w:val="0"/>
        <w:snapToGrid/>
        <w:spacing w:line="579" w:lineRule="exact"/>
        <w:ind w:right="0"/>
        <w:jc w:val="center"/>
        <w:textAlignment w:val="auto"/>
        <w:rPr>
          <w:rFonts w:hint="eastAsia" w:ascii="方正小标宋简体" w:hAnsi="方正小标宋简体" w:eastAsia="方正小标宋简体" w:cs="方正小标宋简体"/>
          <w:b w:val="0"/>
          <w:bCs/>
          <w:kern w:val="0"/>
          <w:sz w:val="44"/>
          <w:szCs w:val="44"/>
          <w:lang w:val="en-US" w:eastAsia="zh-CN" w:bidi="ar-SA"/>
        </w:rPr>
      </w:pPr>
      <w:r>
        <w:rPr>
          <w:rFonts w:hint="eastAsia" w:ascii="方正小标宋简体" w:hAnsi="方正小标宋简体" w:eastAsia="方正小标宋简体" w:cs="方正小标宋简体"/>
          <w:b w:val="0"/>
          <w:bCs/>
          <w:sz w:val="44"/>
          <w:szCs w:val="44"/>
        </w:rPr>
        <w:t>建议</w:t>
      </w:r>
      <w:r>
        <w:rPr>
          <w:rFonts w:hint="eastAsia" w:ascii="方正小标宋简体" w:hAnsi="方正小标宋简体" w:eastAsia="方正小标宋简体" w:cs="方正小标宋简体"/>
          <w:b w:val="0"/>
          <w:bCs/>
          <w:kern w:val="0"/>
          <w:sz w:val="44"/>
          <w:szCs w:val="44"/>
          <w:lang w:val="en-US" w:eastAsia="zh-CN" w:bidi="ar-SA"/>
        </w:rPr>
        <w:t>第20240291号的答复</w:t>
      </w:r>
    </w:p>
    <w:p>
      <w:pPr>
        <w:keepNext w:val="0"/>
        <w:keepLines w:val="0"/>
        <w:pageBreakBefore w:val="0"/>
        <w:widowControl w:val="0"/>
        <w:kinsoku/>
        <w:wordWrap/>
        <w:overflowPunct/>
        <w:topLinePunct w:val="0"/>
        <w:bidi w:val="0"/>
        <w:adjustRightInd/>
        <w:snapToGrid/>
        <w:spacing w:beforeAutospacing="0" w:afterAutospacing="0" w:line="579" w:lineRule="exact"/>
        <w:ind w:left="0" w:leftChars="0" w:right="0" w:firstLine="880" w:firstLineChars="200"/>
        <w:jc w:val="center"/>
        <w:textAlignment w:val="auto"/>
        <w:outlineLvl w:val="9"/>
        <w:rPr>
          <w:rFonts w:hint="eastAsia" w:ascii="方正小标宋_GBK" w:hAnsi="方正小标宋_GBK" w:eastAsia="方正小标宋_GBK" w:cs="方正小标宋_GBK"/>
          <w:kern w:val="2"/>
          <w:sz w:val="44"/>
          <w:szCs w:val="44"/>
          <w:lang w:val="en-US" w:eastAsia="zh-CN" w:bidi="ar-SA"/>
        </w:rPr>
      </w:pP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579" w:lineRule="exact"/>
        <w:ind w:right="0"/>
        <w:jc w:val="left"/>
        <w:textAlignment w:val="auto"/>
        <w:outlineLvl w:val="9"/>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尊敬的周万雄等代表</w:t>
      </w:r>
      <w:r>
        <w:rPr>
          <w:rFonts w:hint="eastAsia" w:ascii="仿宋_GB2312" w:hAnsi="仿宋_GB2312" w:eastAsia="仿宋_GB2312" w:cs="仿宋_GB2312"/>
          <w:color w:val="000000"/>
          <w:kern w:val="0"/>
          <w:sz w:val="32"/>
          <w:szCs w:val="32"/>
          <w:lang w:val="zh-CN" w:eastAsia="zh-CN" w:bidi="ar-SA"/>
        </w:rPr>
        <w:t>：</w:t>
      </w:r>
    </w:p>
    <w:p>
      <w:pPr>
        <w:pStyle w:val="8"/>
        <w:keepNext w:val="0"/>
        <w:keepLines w:val="0"/>
        <w:pageBreakBefore w:val="0"/>
        <w:kinsoku/>
        <w:wordWrap/>
        <w:overflowPunct/>
        <w:topLinePunct w:val="0"/>
        <w:bidi w:val="0"/>
        <w:snapToGrid/>
        <w:spacing w:line="579"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w:t>
      </w:r>
      <w:r>
        <w:rPr>
          <w:rFonts w:hint="eastAsia" w:hAnsi="仿宋_GB2312" w:cs="仿宋_GB2312"/>
          <w:sz w:val="32"/>
          <w:szCs w:val="32"/>
          <w:lang w:eastAsia="zh-CN"/>
        </w:rPr>
        <w:t>们</w:t>
      </w:r>
      <w:r>
        <w:rPr>
          <w:rFonts w:hint="eastAsia" w:ascii="仿宋_GB2312" w:hAnsi="仿宋_GB2312" w:eastAsia="仿宋_GB2312" w:cs="仿宋_GB2312"/>
          <w:sz w:val="32"/>
          <w:szCs w:val="32"/>
        </w:rPr>
        <w:t>提出的</w:t>
      </w:r>
      <w:r>
        <w:rPr>
          <w:rFonts w:hint="eastAsia" w:ascii="仿宋_GB2312" w:hAnsi="仿宋_GB2312" w:eastAsia="仿宋_GB2312" w:cs="仿宋_GB2312"/>
          <w:color w:val="000000"/>
          <w:kern w:val="0"/>
          <w:sz w:val="32"/>
          <w:szCs w:val="32"/>
          <w:lang w:val="zh-CN" w:eastAsia="zh-CN" w:bidi="ar-SA"/>
        </w:rPr>
        <w:t>《</w:t>
      </w:r>
      <w:r>
        <w:rPr>
          <w:rFonts w:hint="eastAsia" w:ascii="仿宋_GB2312" w:hAnsi="仿宋_GB2312" w:eastAsia="仿宋_GB2312" w:cs="仿宋_GB2312"/>
          <w:color w:val="000000"/>
          <w:kern w:val="0"/>
          <w:sz w:val="32"/>
          <w:szCs w:val="32"/>
          <w:lang w:val="en-US" w:eastAsia="zh-CN" w:bidi="ar-SA"/>
        </w:rPr>
        <w:t>关于充分利用城市公园临街空间资源，打造满足年轻人消费新场景的建议</w:t>
      </w:r>
      <w:r>
        <w:rPr>
          <w:rFonts w:hint="eastAsia" w:hAnsi="仿宋_GB2312" w:cs="仿宋_GB2312"/>
          <w:sz w:val="32"/>
          <w:szCs w:val="32"/>
          <w:lang w:eastAsia="zh-CN"/>
        </w:rPr>
        <w:t>》</w:t>
      </w:r>
      <w:r>
        <w:rPr>
          <w:rFonts w:hint="eastAsia" w:ascii="仿宋_GB2312" w:hAnsi="仿宋_GB2312" w:eastAsia="仿宋_GB2312" w:cs="仿宋_GB2312"/>
          <w:sz w:val="32"/>
          <w:szCs w:val="32"/>
        </w:rPr>
        <w:t>收悉。感谢您</w:t>
      </w:r>
      <w:r>
        <w:rPr>
          <w:rFonts w:hint="eastAsia" w:hAnsi="仿宋_GB2312" w:cs="仿宋_GB2312"/>
          <w:sz w:val="32"/>
          <w:szCs w:val="32"/>
          <w:lang w:eastAsia="zh-CN"/>
        </w:rPr>
        <w:t>们</w:t>
      </w:r>
      <w:r>
        <w:rPr>
          <w:rFonts w:hint="eastAsia" w:ascii="仿宋_GB2312" w:hAnsi="仿宋_GB2312" w:eastAsia="仿宋_GB2312" w:cs="仿宋_GB2312"/>
          <w:sz w:val="32"/>
          <w:szCs w:val="32"/>
        </w:rPr>
        <w:t>对我区城市管理工作的支持和关心，现将</w:t>
      </w:r>
      <w:r>
        <w:rPr>
          <w:rFonts w:hint="eastAsia" w:ascii="仿宋_GB2312" w:hAnsi="仿宋_GB2312" w:eastAsia="仿宋_GB2312" w:cs="仿宋_GB2312"/>
          <w:sz w:val="32"/>
          <w:szCs w:val="32"/>
          <w:lang w:val="en-US" w:eastAsia="zh-CN"/>
        </w:rPr>
        <w:t>建议</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复如下：</w:t>
      </w:r>
    </w:p>
    <w:p>
      <w:pPr>
        <w:keepNext w:val="0"/>
        <w:keepLines w:val="0"/>
        <w:pageBreakBefore w:val="0"/>
        <w:numPr>
          <w:ilvl w:val="0"/>
          <w:numId w:val="1"/>
        </w:numPr>
        <w:kinsoku/>
        <w:wordWrap/>
        <w:overflowPunct/>
        <w:topLinePunct w:val="0"/>
        <w:autoSpaceDE/>
        <w:autoSpaceDN/>
        <w:bidi w:val="0"/>
        <w:adjustRightInd/>
        <w:snapToGrid/>
        <w:spacing w:line="579" w:lineRule="exact"/>
        <w:ind w:left="0" w:leftChars="0" w:right="0" w:rightChars="0" w:firstLine="640" w:firstLineChars="200"/>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基本情况</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福田区是深圳的中心城区，具有显著的“高密度、高强度、高建成度”的特征，福田区一直坚持生态营城，全区建成公园135个（含市属公园），成为名副其实的百园福田。目前福田区有区属大型公园6个，分别为香蜜公园（区投区建区管公园），皇岗公园、儿童乐园、梅林公园、彩田公园（2024年1月刚下放至我区），中心公园（2024年5月6日交由我区临时管代）。自2022年11月起，市级相关行业主管部门联合印发《关于促进公园消费体验的实施方案》，各公园均通过公开招标、消费体验、活动配套等方式陆续引进了“公园+”系列商业活动，具代表性主要有三类：一是便民配套服务消费，如可移动轻餐饮车、饮品自动售卖机、充电宝、共享雨伞等便民配套服务；二是大型活动配套消费，如通过举办月季花展、福田喜事、花灯灯会等活动引进的市集消费；三是书屋配套轻餐饮消费，如香蜜公园园外咖啡厅、玫瑰书屋、哈圃等书吧。</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2023年福田区贯彻落实深圳“山海连城”计划，在全市首个实现了中部公园群的“五园联通”，莲花山公园、笔架山公园、中心公园、梅林山公园和银湖山公园五园无缝连接，让公园连通周边主要社区、产业片区和商业片区，让公园群、活力商圈、幸福社区彼此相连，真正实现连生态、连生活、连生趣。2024粤港澳大湾区花展实现了笔架山公园、莲花山公园与深业上城商圈深度联动，日均客流量超过20万人次，环比增长65%。“花展+商圈”、“商业+公园”资源互补消费模式得以成功实践。</w:t>
      </w:r>
    </w:p>
    <w:p>
      <w:pPr>
        <w:keepNext w:val="0"/>
        <w:keepLines w:val="0"/>
        <w:pageBreakBefore w:val="0"/>
        <w:widowControl w:val="0"/>
        <w:kinsoku/>
        <w:wordWrap/>
        <w:overflowPunct/>
        <w:topLinePunct w:val="0"/>
        <w:autoSpaceDE/>
        <w:autoSpaceDN/>
        <w:bidi w:val="0"/>
        <w:adjustRightInd/>
        <w:snapToGrid/>
        <w:spacing w:line="579" w:lineRule="exact"/>
        <w:ind w:left="0" w:right="0" w:firstLine="640" w:firstLineChars="200"/>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仿宋_GB2312" w:eastAsia="仿宋_GB2312" w:cs="仿宋_GB2312"/>
          <w:color w:val="auto"/>
          <w:sz w:val="32"/>
          <w:szCs w:val="32"/>
          <w:lang w:val="en-US" w:eastAsia="zh-CN"/>
        </w:rPr>
        <w:t>关于</w:t>
      </w:r>
      <w:r>
        <w:rPr>
          <w:rFonts w:hint="eastAsia" w:ascii="仿宋_GB2312" w:hAnsi="Times New Roman" w:eastAsia="仿宋_GB2312" w:cs="Times New Roman"/>
          <w:b w:val="0"/>
          <w:bCs w:val="0"/>
          <w:color w:val="000000"/>
          <w:kern w:val="2"/>
          <w:sz w:val="32"/>
          <w:szCs w:val="32"/>
          <w:lang w:val="en-US" w:eastAsia="zh-CN" w:bidi="ar-SA"/>
        </w:rPr>
        <w:t>代表们提出的“城市公园临街空间以临建店铺的形式投入建设”，根据新</w:t>
      </w:r>
      <w:r>
        <w:rPr>
          <w:rFonts w:hint="eastAsia" w:ascii="仿宋_GB2312" w:hAnsi="仿宋_GB2312" w:eastAsia="仿宋_GB2312" w:cs="仿宋_GB2312"/>
          <w:color w:val="auto"/>
          <w:sz w:val="32"/>
          <w:szCs w:val="32"/>
          <w:lang w:val="en-US" w:eastAsia="zh-CN"/>
        </w:rPr>
        <w:t>出台的《深圳市福田区已出让国有土地上临时建筑管理办法》（福府办规〔2023〕12号），已出让国有土地上可建设的临时建筑有6种，具体为：（一）急需的公共服务配套设施；（二）施工或勘察类临时建筑；（三）经区产业部门或相关主管部门认定，在已出让工业仓储用地上因生产急需搭建的临时配套设施；（四）单独建设的为商品房展销服务的样板房、售楼处等；（五）因重大公共利益需要而建设的临时建筑；（六）符合法律、法规、规章规定的其他临时建筑。已出让国有土地上临时建筑批准使用期限不得超过2年，使用期限届满确需延期的可申请延期一次，延期最长不得超过1年，且不得超过土地使用权剩余期限。综合考量项目的时限性、经济性、运营可行性等，</w:t>
      </w:r>
      <w:r>
        <w:rPr>
          <w:rFonts w:hint="eastAsia" w:ascii="仿宋_GB2312" w:hAnsi="Times New Roman" w:eastAsia="仿宋_GB2312" w:cs="Times New Roman"/>
          <w:b w:val="0"/>
          <w:bCs w:val="0"/>
          <w:color w:val="000000"/>
          <w:kern w:val="2"/>
          <w:sz w:val="32"/>
          <w:szCs w:val="32"/>
          <w:lang w:val="en-US" w:eastAsia="zh-CN" w:bidi="ar-SA"/>
        </w:rPr>
        <w:t>城市公园临街空间以临建店铺的形式投入建设并公开对外招商引资对商业运营公司恐难以有足够的吸引力。</w:t>
      </w:r>
    </w:p>
    <w:p>
      <w:pPr>
        <w:keepNext w:val="0"/>
        <w:keepLines w:val="0"/>
        <w:pageBreakBefore w:val="0"/>
        <w:numPr>
          <w:ilvl w:val="0"/>
          <w:numId w:val="1"/>
        </w:numPr>
        <w:kinsoku/>
        <w:wordWrap/>
        <w:overflowPunct/>
        <w:topLinePunct w:val="0"/>
        <w:autoSpaceDE/>
        <w:autoSpaceDN/>
        <w:bidi w:val="0"/>
        <w:adjustRightInd/>
        <w:snapToGrid/>
        <w:spacing w:line="579" w:lineRule="exact"/>
        <w:ind w:left="0" w:leftChars="0" w:right="0" w:rightChars="0" w:firstLine="640" w:firstLineChars="200"/>
        <w:textAlignment w:val="auto"/>
        <w:outlineLvl w:val="9"/>
        <w:rPr>
          <w:rFonts w:hint="eastAsia" w:ascii="黑体" w:hAnsi="黑体" w:eastAsia="黑体" w:cs="黑体"/>
          <w:b w:val="0"/>
          <w:bCs w:val="0"/>
          <w:color w:val="000000"/>
          <w:sz w:val="32"/>
          <w:szCs w:val="32"/>
          <w:lang w:val="zh-CN" w:eastAsia="zh-CN"/>
        </w:rPr>
      </w:pPr>
      <w:r>
        <w:rPr>
          <w:rFonts w:hint="eastAsia" w:ascii="黑体" w:hAnsi="黑体" w:eastAsia="黑体" w:cs="黑体"/>
          <w:b w:val="0"/>
          <w:bCs w:val="0"/>
          <w:color w:val="000000"/>
          <w:sz w:val="32"/>
          <w:szCs w:val="32"/>
          <w:lang w:val="en-US" w:eastAsia="zh-CN"/>
        </w:rPr>
        <w:t>下一步工作计划</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楷体" w:hAnsi="楷体" w:eastAsia="楷体" w:cs="楷体"/>
          <w:b w:val="0"/>
          <w:bCs w:val="0"/>
          <w:color w:val="000000"/>
          <w:kern w:val="2"/>
          <w:sz w:val="32"/>
          <w:szCs w:val="32"/>
          <w:lang w:val="en-US" w:eastAsia="zh-CN" w:bidi="ar-SA"/>
        </w:rPr>
      </w:pPr>
      <w:r>
        <w:rPr>
          <w:rFonts w:hint="eastAsia" w:ascii="楷体" w:hAnsi="楷体" w:eastAsia="楷体" w:cs="楷体"/>
          <w:b w:val="0"/>
          <w:bCs w:val="0"/>
          <w:color w:val="000000"/>
          <w:kern w:val="2"/>
          <w:sz w:val="32"/>
          <w:szCs w:val="32"/>
          <w:lang w:val="en-US" w:eastAsia="zh-CN" w:bidi="ar-SA"/>
        </w:rPr>
        <w:t>（一）贯彻落实区委“商业零售进公园”服务管理机制改革相关部署</w:t>
      </w:r>
    </w:p>
    <w:p>
      <w:pPr>
        <w:pStyle w:val="8"/>
        <w:keepNext w:val="0"/>
        <w:keepLines w:val="0"/>
        <w:pageBreakBefore w:val="0"/>
        <w:kinsoku/>
        <w:wordWrap/>
        <w:overflowPunct/>
        <w:topLinePunct w:val="0"/>
        <w:bidi w:val="0"/>
        <w:snapToGrid/>
        <w:spacing w:line="579"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区委已下发《区委全面深化改革委员会2024年工作要点》，对“商业零售进公园”服务管理机制改革做出了相关部署，一是建立名单管理和申报审批机制。编制并发布“商业零售进公园”准入行业名录和服务标准，以及“商业零售进公园”运营商、零售商申报标准、审核流程、竞价机制等文件。二是建立市场化运营保障机侧。通过市场化招投标或竞价机制，赋子符合条件的运营商、零售商“公园准入权”，运营商、零售商按照约定向财政专户繳纳有关安用。三是建立运营主体评价退出制度。建立运营商，零售商日常监管制度，对商业服务质量、价格等进行常态化监管，对不合格运营主体及时取消其“公园准入权”。计划年内已香蜜湖为试点，建成标准化、规范化“商业零售进公园”示范园。</w:t>
      </w:r>
    </w:p>
    <w:p>
      <w:pPr>
        <w:spacing w:line="240" w:lineRule="auto"/>
        <w:ind w:left="0" w:leftChars="0" w:right="0" w:rightChars="0" w:firstLine="570" w:firstLineChars="0"/>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我局将贯彻落实区委“商业零售进公园”服务管理机制改革相关部署，同时广泛听取年轻人的意见和建议，切实打造贴近及满足年轻人娱乐和消费的新场景。激发消费潜力、提振消费信心，释放市民游客消费需求、积极带动青年创业，助力深圳加快建设国际消费中心。</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楷体" w:hAnsi="楷体" w:eastAsia="楷体" w:cs="楷体"/>
          <w:b w:val="0"/>
          <w:bCs w:val="0"/>
          <w:color w:val="000000"/>
          <w:kern w:val="2"/>
          <w:sz w:val="32"/>
          <w:szCs w:val="32"/>
          <w:lang w:val="en-US" w:eastAsia="zh-CN" w:bidi="ar-SA"/>
        </w:rPr>
        <w:t>（二）拓展区属大型公园消费新场景</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仿宋_GB2312" w:eastAsia="仿宋_GB2312" w:cs="仿宋_GB2312"/>
          <w:color w:val="auto"/>
          <w:sz w:val="32"/>
          <w:szCs w:val="32"/>
          <w:lang w:eastAsia="zh-CN"/>
        </w:rPr>
        <w:t>我局已委托深圳市福田区公园之友城市管理服务中心对受访者关于公园内增设零售商业设施的态度、需求偏好、环境影响认知以及消费意愿等方面进行了充分调研和详细分析。结合调研结果，我局将</w:t>
      </w:r>
      <w:r>
        <w:rPr>
          <w:rFonts w:hint="eastAsia" w:ascii="仿宋_GB2312" w:hAnsi="Times New Roman" w:eastAsia="仿宋_GB2312" w:cs="Times New Roman"/>
          <w:b w:val="0"/>
          <w:bCs w:val="0"/>
          <w:color w:val="000000"/>
          <w:kern w:val="2"/>
          <w:sz w:val="32"/>
          <w:szCs w:val="32"/>
          <w:lang w:val="en-US" w:eastAsia="zh-CN" w:bidi="ar-SA"/>
        </w:rPr>
        <w:t>进一步拓展区属大型公园消费新场景，</w:t>
      </w:r>
    </w:p>
    <w:p>
      <w:pPr>
        <w:keepNext w:val="0"/>
        <w:keepLines w:val="0"/>
        <w:pageBreakBefore w:val="0"/>
        <w:widowControl w:val="0"/>
        <w:numPr>
          <w:ilvl w:val="0"/>
          <w:numId w:val="2"/>
        </w:numPr>
        <w:kinsoku/>
        <w:wordWrap/>
        <w:overflowPunct/>
        <w:topLinePunct w:val="0"/>
        <w:bidi w:val="0"/>
        <w:snapToGrid/>
        <w:spacing w:line="579" w:lineRule="exact"/>
        <w:ind w:left="0" w:right="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打造一批复合型便民配套消费</w:t>
      </w:r>
    </w:p>
    <w:p>
      <w:pPr>
        <w:keepNext w:val="0"/>
        <w:keepLines w:val="0"/>
        <w:pageBreakBefore w:val="0"/>
        <w:widowControl w:val="0"/>
        <w:kinsoku/>
        <w:wordWrap/>
        <w:overflowPunct/>
        <w:topLinePunct w:val="0"/>
        <w:bidi w:val="0"/>
        <w:snapToGrid/>
        <w:spacing w:line="579" w:lineRule="exact"/>
        <w:ind w:left="0" w:right="0" w:firstLine="642"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bCs/>
          <w:color w:val="auto"/>
          <w:sz w:val="32"/>
          <w:szCs w:val="32"/>
          <w:lang w:val="zh-CN" w:eastAsia="zh-CN"/>
        </w:rPr>
        <w:t>一是</w:t>
      </w:r>
      <w:r>
        <w:rPr>
          <w:rFonts w:hint="eastAsia" w:ascii="仿宋_GB2312" w:hAnsi="仿宋_GB2312" w:eastAsia="仿宋_GB2312" w:cs="仿宋_GB2312"/>
          <w:color w:val="auto"/>
          <w:sz w:val="32"/>
          <w:szCs w:val="32"/>
          <w:lang w:val="zh-CN" w:eastAsia="zh-CN"/>
        </w:rPr>
        <w:t>通过优化现有轻餐饮车、饮品自动售卖等配套设施外观设计，设置公园网红打卡点位，如增设勒杜鹃花海瀑布，主题IP造型等；</w:t>
      </w:r>
      <w:r>
        <w:rPr>
          <w:rFonts w:hint="eastAsia" w:ascii="仿宋_GB2312" w:hAnsi="仿宋_GB2312" w:eastAsia="仿宋_GB2312" w:cs="仿宋_GB2312"/>
          <w:b/>
          <w:bCs/>
          <w:color w:val="auto"/>
          <w:sz w:val="32"/>
          <w:szCs w:val="32"/>
          <w:lang w:val="zh-CN" w:eastAsia="zh-CN"/>
        </w:rPr>
        <w:t>二是</w:t>
      </w:r>
      <w:r>
        <w:rPr>
          <w:rFonts w:hint="eastAsia" w:ascii="仿宋_GB2312" w:hAnsi="仿宋_GB2312" w:eastAsia="仿宋_GB2312" w:cs="仿宋_GB2312"/>
          <w:color w:val="auto"/>
          <w:sz w:val="32"/>
          <w:szCs w:val="32"/>
          <w:lang w:val="zh-CN" w:eastAsia="zh-CN"/>
        </w:rPr>
        <w:t>通过增加现有配套设施复合型功能，为市民提供贴心服务，例如将书吧与自然教育、公益展览、游客服务等相结合，自动售卖机配套增设驱蚊止痒的药品、遮阴休憩等；</w:t>
      </w:r>
      <w:r>
        <w:rPr>
          <w:rFonts w:hint="eastAsia" w:ascii="仿宋_GB2312" w:hAnsi="仿宋_GB2312" w:eastAsia="仿宋_GB2312" w:cs="仿宋_GB2312"/>
          <w:b/>
          <w:bCs/>
          <w:color w:val="auto"/>
          <w:sz w:val="32"/>
          <w:szCs w:val="32"/>
          <w:lang w:val="zh-CN" w:eastAsia="zh-CN"/>
        </w:rPr>
        <w:t>三是</w:t>
      </w:r>
      <w:r>
        <w:rPr>
          <w:rFonts w:hint="eastAsia" w:ascii="仿宋_GB2312" w:hAnsi="仿宋_GB2312" w:eastAsia="仿宋_GB2312" w:cs="仿宋_GB2312"/>
          <w:color w:val="auto"/>
          <w:sz w:val="32"/>
          <w:szCs w:val="32"/>
          <w:lang w:val="zh-CN" w:eastAsia="zh-CN"/>
        </w:rPr>
        <w:t>增加代步电车租赁、物品存放等便民消费服务。</w:t>
      </w:r>
    </w:p>
    <w:p>
      <w:pPr>
        <w:pStyle w:val="7"/>
        <w:keepNext w:val="0"/>
        <w:keepLines w:val="0"/>
        <w:pageBreakBefore w:val="0"/>
        <w:numPr>
          <w:ilvl w:val="0"/>
          <w:numId w:val="2"/>
        </w:numPr>
        <w:kinsoku/>
        <w:wordWrap/>
        <w:overflowPunct/>
        <w:topLinePunct w:val="0"/>
        <w:bidi w:val="0"/>
        <w:snapToGrid/>
        <w:spacing w:line="579" w:lineRule="exact"/>
        <w:ind w:left="0" w:leftChars="0" w:right="0" w:firstLine="640" w:firstLineChars="200"/>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增设一批体育娱乐活动消费场景</w:t>
      </w:r>
    </w:p>
    <w:p>
      <w:pPr>
        <w:keepNext w:val="0"/>
        <w:keepLines w:val="0"/>
        <w:pageBreakBefore w:val="0"/>
        <w:widowControl w:val="0"/>
        <w:kinsoku/>
        <w:wordWrap/>
        <w:overflowPunct/>
        <w:topLinePunct w:val="0"/>
        <w:bidi w:val="0"/>
        <w:snapToGrid/>
        <w:spacing w:line="579" w:lineRule="exact"/>
        <w:ind w:left="0" w:right="0" w:firstLine="642"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bCs/>
          <w:color w:val="auto"/>
          <w:sz w:val="32"/>
          <w:szCs w:val="32"/>
          <w:lang w:val="zh-CN" w:eastAsia="zh-CN"/>
        </w:rPr>
        <w:t>一是</w:t>
      </w:r>
      <w:r>
        <w:rPr>
          <w:rFonts w:hint="eastAsia" w:ascii="仿宋_GB2312" w:hAnsi="仿宋_GB2312" w:eastAsia="仿宋_GB2312" w:cs="仿宋_GB2312"/>
          <w:color w:val="auto"/>
          <w:sz w:val="32"/>
          <w:szCs w:val="32"/>
          <w:lang w:val="zh-CN" w:eastAsia="zh-CN"/>
        </w:rPr>
        <w:t>通过微改造提升，增设丛林穿越、智能健身器材等游乐设施；</w:t>
      </w:r>
      <w:r>
        <w:rPr>
          <w:rFonts w:hint="eastAsia" w:ascii="仿宋_GB2312" w:hAnsi="仿宋_GB2312" w:eastAsia="仿宋_GB2312" w:cs="仿宋_GB2312"/>
          <w:b/>
          <w:bCs/>
          <w:color w:val="auto"/>
          <w:sz w:val="32"/>
          <w:szCs w:val="32"/>
          <w:lang w:val="zh-CN" w:eastAsia="zh-CN"/>
        </w:rPr>
        <w:t>二是</w:t>
      </w:r>
      <w:r>
        <w:rPr>
          <w:rFonts w:hint="eastAsia" w:ascii="仿宋_GB2312" w:hAnsi="仿宋_GB2312" w:eastAsia="仿宋_GB2312" w:cs="仿宋_GB2312"/>
          <w:color w:val="auto"/>
          <w:sz w:val="32"/>
          <w:szCs w:val="32"/>
          <w:lang w:val="zh-CN" w:eastAsia="zh-CN"/>
        </w:rPr>
        <w:t>在公园出入口，划定宠物专爱区域，开设宠物经济进公园消费路径；</w:t>
      </w:r>
      <w:r>
        <w:rPr>
          <w:rFonts w:hint="eastAsia" w:ascii="仿宋_GB2312" w:hAnsi="仿宋_GB2312" w:eastAsia="仿宋_GB2312" w:cs="仿宋_GB2312"/>
          <w:b/>
          <w:bCs/>
          <w:color w:val="auto"/>
          <w:sz w:val="32"/>
          <w:szCs w:val="32"/>
          <w:lang w:val="zh-CN" w:eastAsia="zh-CN"/>
        </w:rPr>
        <w:t>三是</w:t>
      </w:r>
      <w:r>
        <w:rPr>
          <w:rFonts w:hint="eastAsia" w:ascii="仿宋_GB2312" w:hAnsi="仿宋_GB2312" w:eastAsia="仿宋_GB2312" w:cs="仿宋_GB2312"/>
          <w:color w:val="auto"/>
          <w:sz w:val="32"/>
          <w:szCs w:val="32"/>
          <w:lang w:val="zh-CN" w:eastAsia="zh-CN"/>
        </w:rPr>
        <w:t>引入游船、水上活动等游玩消费服务，提升游玩的趣味性。</w:t>
      </w:r>
    </w:p>
    <w:p>
      <w:pPr>
        <w:pStyle w:val="7"/>
        <w:keepNext w:val="0"/>
        <w:keepLines w:val="0"/>
        <w:pageBreakBefore w:val="0"/>
        <w:numPr>
          <w:ilvl w:val="0"/>
          <w:numId w:val="2"/>
        </w:numPr>
        <w:kinsoku/>
        <w:wordWrap/>
        <w:overflowPunct/>
        <w:topLinePunct w:val="0"/>
        <w:bidi w:val="0"/>
        <w:snapToGrid/>
        <w:spacing w:line="579" w:lineRule="exact"/>
        <w:ind w:left="0" w:leftChars="0" w:right="0" w:firstLine="640" w:firstLineChars="200"/>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开设一条福田公园旅游路径</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发展特色书屋、文创产品。</w:t>
      </w:r>
      <w:r>
        <w:rPr>
          <w:rFonts w:hint="eastAsia" w:ascii="仿宋_GB2312" w:hAnsi="仿宋_GB2312" w:eastAsia="仿宋_GB2312" w:cs="仿宋_GB2312"/>
          <w:b/>
          <w:bCs/>
          <w:color w:val="auto"/>
          <w:sz w:val="32"/>
          <w:szCs w:val="32"/>
          <w:lang w:val="zh-CN" w:eastAsia="zh-CN"/>
        </w:rPr>
        <w:t>一是</w:t>
      </w:r>
      <w:r>
        <w:rPr>
          <w:rFonts w:hint="eastAsia" w:ascii="仿宋_GB2312" w:hAnsi="仿宋_GB2312" w:eastAsia="仿宋_GB2312" w:cs="仿宋_GB2312"/>
          <w:color w:val="auto"/>
          <w:sz w:val="32"/>
          <w:szCs w:val="32"/>
          <w:lang w:val="zh-CN" w:eastAsia="zh-CN"/>
        </w:rPr>
        <w:t>结合福田特色文化、绿美福田或地标性建筑等福田元素提升公园书香文化气息，打造特色主题书吧，同时推出相应的主题IP 关联文创产品；</w:t>
      </w:r>
      <w:r>
        <w:rPr>
          <w:rFonts w:hint="eastAsia" w:ascii="仿宋_GB2312" w:hAnsi="仿宋_GB2312" w:eastAsia="仿宋_GB2312" w:cs="仿宋_GB2312"/>
          <w:b/>
          <w:bCs/>
          <w:color w:val="auto"/>
          <w:sz w:val="32"/>
          <w:szCs w:val="32"/>
          <w:lang w:val="zh-CN" w:eastAsia="zh-CN"/>
        </w:rPr>
        <w:t>二是</w:t>
      </w:r>
      <w:r>
        <w:rPr>
          <w:rFonts w:hint="eastAsia" w:ascii="仿宋_GB2312" w:hAnsi="仿宋_GB2312" w:eastAsia="仿宋_GB2312" w:cs="仿宋_GB2312"/>
          <w:color w:val="auto"/>
          <w:sz w:val="32"/>
          <w:szCs w:val="32"/>
          <w:lang w:val="zh-CN" w:eastAsia="zh-CN"/>
        </w:rPr>
        <w:t>结合自然教育、“小小导赏员”服务，发掘各公园的特色研学路径；</w:t>
      </w:r>
      <w:r>
        <w:rPr>
          <w:rFonts w:hint="eastAsia" w:ascii="仿宋_GB2312" w:hAnsi="仿宋_GB2312" w:eastAsia="仿宋_GB2312" w:cs="仿宋_GB2312"/>
          <w:b/>
          <w:bCs/>
          <w:color w:val="auto"/>
          <w:sz w:val="32"/>
          <w:szCs w:val="32"/>
          <w:lang w:val="zh-CN" w:eastAsia="zh-CN"/>
        </w:rPr>
        <w:t>三是</w:t>
      </w:r>
      <w:r>
        <w:rPr>
          <w:rFonts w:hint="eastAsia" w:ascii="仿宋_GB2312" w:hAnsi="仿宋_GB2312" w:eastAsia="仿宋_GB2312" w:cs="仿宋_GB2312"/>
          <w:color w:val="auto"/>
          <w:sz w:val="32"/>
          <w:szCs w:val="32"/>
          <w:lang w:val="zh-CN" w:eastAsia="zh-CN"/>
        </w:rPr>
        <w:t>充分利用绿地开放的契机，引入潮流文化与中国传统文化的特色活动引聚人气。</w:t>
      </w:r>
    </w:p>
    <w:p>
      <w:pPr>
        <w:pStyle w:val="7"/>
        <w:keepNext w:val="0"/>
        <w:keepLines w:val="0"/>
        <w:pageBreakBefore w:val="0"/>
        <w:numPr>
          <w:ilvl w:val="0"/>
          <w:numId w:val="2"/>
        </w:numPr>
        <w:kinsoku/>
        <w:wordWrap/>
        <w:overflowPunct/>
        <w:topLinePunct w:val="0"/>
        <w:bidi w:val="0"/>
        <w:snapToGrid/>
        <w:spacing w:line="579" w:lineRule="exact"/>
        <w:ind w:left="0" w:leftChars="0" w:right="0" w:firstLine="640" w:firstLineChars="200"/>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搭建一个福田公园特色建设运营模式</w:t>
      </w:r>
    </w:p>
    <w:p>
      <w:pPr>
        <w:keepNext w:val="0"/>
        <w:keepLines w:val="0"/>
        <w:pageBreakBefore w:val="0"/>
        <w:widowControl w:val="0"/>
        <w:kinsoku/>
        <w:wordWrap/>
        <w:overflowPunct/>
        <w:topLinePunct w:val="0"/>
        <w:bidi w:val="0"/>
        <w:snapToGrid/>
        <w:spacing w:line="579" w:lineRule="exact"/>
        <w:ind w:left="0" w:right="0" w:firstLine="642"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bCs/>
          <w:color w:val="auto"/>
          <w:sz w:val="32"/>
          <w:szCs w:val="32"/>
          <w:lang w:val="zh-CN" w:eastAsia="zh-CN"/>
        </w:rPr>
        <w:t>一是</w:t>
      </w:r>
      <w:r>
        <w:rPr>
          <w:rFonts w:hint="eastAsia" w:ascii="仿宋_GB2312" w:hAnsi="仿宋_GB2312" w:eastAsia="仿宋_GB2312" w:cs="仿宋_GB2312"/>
          <w:color w:val="auto"/>
          <w:sz w:val="32"/>
          <w:szCs w:val="32"/>
          <w:lang w:val="zh-CN" w:eastAsia="zh-CN"/>
        </w:rPr>
        <w:t>基于香蜜公园公众参与的良好品牌效应，邀请更多市民朋友参与到公园的志愿服务。</w:t>
      </w:r>
      <w:r>
        <w:rPr>
          <w:rFonts w:hint="eastAsia" w:ascii="仿宋_GB2312" w:hAnsi="仿宋_GB2312" w:eastAsia="仿宋_GB2312" w:cs="仿宋_GB2312"/>
          <w:b/>
          <w:bCs/>
          <w:color w:val="auto"/>
          <w:sz w:val="32"/>
          <w:szCs w:val="32"/>
          <w:lang w:val="zh-CN" w:eastAsia="zh-CN"/>
        </w:rPr>
        <w:t>二是</w:t>
      </w:r>
      <w:r>
        <w:rPr>
          <w:rFonts w:hint="eastAsia" w:ascii="仿宋_GB2312" w:hAnsi="仿宋_GB2312" w:eastAsia="仿宋_GB2312" w:cs="仿宋_GB2312"/>
          <w:color w:val="auto"/>
          <w:sz w:val="32"/>
          <w:szCs w:val="32"/>
          <w:lang w:val="zh-CN" w:eastAsia="zh-CN"/>
        </w:rPr>
        <w:t>在公园的建设、改造和经营工作中，依托特许经营放宽的相关政策，引入社会资本投资开展公园的改造提升、提供公园文化服务等，特许社会资本打造主题 IP 进行如演艺或露营等公园+经营活动。</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仿宋_GB2312" w:eastAsia="仿宋_GB2312" w:cs="仿宋_GB2312"/>
          <w:color w:val="auto"/>
          <w:sz w:val="32"/>
          <w:szCs w:val="32"/>
          <w:lang w:val="en-US" w:eastAsia="zh-CN"/>
        </w:rPr>
        <w:t>我局将充分利用公</w:t>
      </w:r>
      <w:r>
        <w:rPr>
          <w:rFonts w:hint="eastAsia" w:ascii="仿宋_GB2312" w:hAnsi="Times New Roman" w:eastAsia="仿宋_GB2312" w:cs="Times New Roman"/>
          <w:b w:val="0"/>
          <w:bCs w:val="0"/>
          <w:color w:val="000000"/>
          <w:kern w:val="2"/>
          <w:sz w:val="32"/>
          <w:szCs w:val="32"/>
          <w:lang w:val="en-US" w:eastAsia="zh-CN" w:bidi="ar-SA"/>
        </w:rPr>
        <w:t>园、绿道优美的自然环境和活动空间，举办系列公园、绿道消费活动，积极探索“公园+商业”创新消费模式，不断满足居民对公园、绿道休闲娱乐消费的需求，增强市民群众的获得感、幸福感。</w:t>
      </w:r>
    </w:p>
    <w:p>
      <w:pPr>
        <w:keepNext w:val="0"/>
        <w:keepLines w:val="0"/>
        <w:pageBreakBefore w:val="0"/>
        <w:widowControl w:val="0"/>
        <w:kinsoku/>
        <w:wordWrap/>
        <w:overflowPunct/>
        <w:topLinePunct w:val="0"/>
        <w:bidi w:val="0"/>
        <w:snapToGrid/>
        <w:spacing w:line="579" w:lineRule="exact"/>
        <w:ind w:left="0" w:right="0" w:firstLine="640"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再次感谢您们对我区城市管理工作的关心和支持，恳请您们继续对城市管理工作多提宝贵意见。</w:t>
      </w:r>
    </w:p>
    <w:p>
      <w:pPr>
        <w:keepNext w:val="0"/>
        <w:keepLines w:val="0"/>
        <w:pageBreakBefore w:val="0"/>
        <w:kinsoku/>
        <w:wordWrap/>
        <w:overflowPunct/>
        <w:topLinePunct w:val="0"/>
        <w:bidi w:val="0"/>
        <w:snapToGrid/>
        <w:spacing w:line="579" w:lineRule="exact"/>
        <w:ind w:right="0"/>
        <w:textAlignment w:val="auto"/>
        <w:outlineLvl w:val="9"/>
        <w:rPr>
          <w:rFonts w:hint="eastAsia" w:ascii="仿宋_GB2312" w:hAnsi="仿宋_GB2312" w:eastAsia="仿宋_GB2312" w:cs="仿宋_GB2312"/>
          <w:color w:val="auto"/>
          <w:sz w:val="32"/>
          <w:szCs w:val="32"/>
          <w:lang w:eastAsia="zh-CN"/>
        </w:rPr>
      </w:pPr>
    </w:p>
    <w:p>
      <w:pPr>
        <w:keepNext w:val="0"/>
        <w:keepLines w:val="0"/>
        <w:pageBreakBefore w:val="0"/>
        <w:kinsoku/>
        <w:wordWrap/>
        <w:overflowPunct/>
        <w:topLinePunct w:val="0"/>
        <w:bidi w:val="0"/>
        <w:snapToGrid/>
        <w:spacing w:line="579" w:lineRule="exact"/>
        <w:ind w:left="0" w:right="0" w:firstLine="640" w:firstLineChars="200"/>
        <w:textAlignment w:val="auto"/>
        <w:outlineLvl w:val="9"/>
        <w:rPr>
          <w:rFonts w:hint="eastAsia" w:ascii="仿宋_GB2312" w:hAnsi="仿宋_GB2312" w:eastAsia="仿宋_GB2312" w:cs="仿宋_GB2312"/>
          <w:color w:val="auto"/>
          <w:sz w:val="32"/>
          <w:szCs w:val="32"/>
          <w:lang w:eastAsia="zh-CN"/>
        </w:rPr>
      </w:pPr>
    </w:p>
    <w:p>
      <w:pPr>
        <w:keepNext w:val="0"/>
        <w:keepLines w:val="0"/>
        <w:pageBreakBefore w:val="0"/>
        <w:kinsoku/>
        <w:wordWrap w:val="0"/>
        <w:overflowPunct/>
        <w:topLinePunct w:val="0"/>
        <w:autoSpaceDE w:val="0"/>
        <w:autoSpaceDN w:val="0"/>
        <w:bidi w:val="0"/>
        <w:adjustRightInd w:val="0"/>
        <w:snapToGrid/>
        <w:spacing w:line="579" w:lineRule="exact"/>
        <w:ind w:left="0" w:right="0" w:firstLine="640" w:firstLineChars="200"/>
        <w:jc w:val="right"/>
        <w:textAlignment w:val="auto"/>
        <w:outlineLvl w:val="2"/>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                  </w:t>
      </w:r>
      <w:r>
        <w:rPr>
          <w:rFonts w:hint="eastAsia" w:ascii="仿宋_GB2312" w:hAnsi="仿宋_GB2312" w:eastAsia="仿宋_GB2312" w:cs="仿宋_GB2312"/>
          <w:color w:val="000000"/>
          <w:kern w:val="0"/>
          <w:sz w:val="32"/>
          <w:szCs w:val="32"/>
          <w:lang w:val="zh-CN" w:eastAsia="zh-CN" w:bidi="ar-SA"/>
        </w:rPr>
        <w:t>福田区城市管理和综合执法局</w:t>
      </w:r>
      <w:r>
        <w:rPr>
          <w:rFonts w:hint="eastAsia" w:ascii="仿宋_GB2312" w:hAnsi="仿宋_GB2312" w:eastAsia="仿宋_GB2312" w:cs="仿宋_GB2312"/>
          <w:color w:val="000000"/>
          <w:kern w:val="0"/>
          <w:sz w:val="32"/>
          <w:szCs w:val="32"/>
          <w:lang w:val="en-US" w:eastAsia="zh-CN" w:bidi="ar-SA"/>
        </w:rPr>
        <w:t xml:space="preserve">       </w:t>
      </w:r>
    </w:p>
    <w:p>
      <w:pPr>
        <w:keepNext w:val="0"/>
        <w:keepLines w:val="0"/>
        <w:pageBreakBefore w:val="0"/>
        <w:kinsoku/>
        <w:wordWrap w:val="0"/>
        <w:overflowPunct/>
        <w:topLinePunct w:val="0"/>
        <w:autoSpaceDE w:val="0"/>
        <w:autoSpaceDN w:val="0"/>
        <w:bidi w:val="0"/>
        <w:adjustRightInd w:val="0"/>
        <w:snapToGrid/>
        <w:spacing w:line="579" w:lineRule="exact"/>
        <w:ind w:left="0" w:right="0" w:firstLine="640" w:firstLineChars="200"/>
        <w:jc w:val="right"/>
        <w:textAlignment w:val="auto"/>
        <w:outlineLvl w:val="2"/>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20</w:t>
      </w:r>
      <w:r>
        <w:rPr>
          <w:rFonts w:hint="eastAsia" w:ascii="仿宋_GB2312" w:hAnsi="仿宋_GB2312" w:eastAsia="仿宋_GB2312" w:cs="仿宋_GB2312"/>
          <w:color w:val="000000"/>
          <w:kern w:val="0"/>
          <w:sz w:val="32"/>
          <w:szCs w:val="32"/>
          <w:lang w:val="en-US" w:eastAsia="zh-CN" w:bidi="ar-SA"/>
        </w:rPr>
        <w:t>24</w:t>
      </w:r>
      <w:r>
        <w:rPr>
          <w:rFonts w:hint="eastAsia" w:ascii="仿宋_GB2312" w:hAnsi="仿宋_GB2312" w:eastAsia="仿宋_GB2312" w:cs="仿宋_GB2312"/>
          <w:color w:val="000000"/>
          <w:kern w:val="0"/>
          <w:sz w:val="32"/>
          <w:szCs w:val="32"/>
          <w:lang w:val="zh-CN" w:eastAsia="zh-CN" w:bidi="ar-SA"/>
        </w:rPr>
        <w:t>年</w:t>
      </w:r>
      <w:r>
        <w:rPr>
          <w:rFonts w:hint="eastAsia" w:ascii="仿宋_GB2312" w:hAnsi="仿宋_GB2312" w:eastAsia="仿宋_GB2312" w:cs="仿宋_GB2312"/>
          <w:color w:val="000000"/>
          <w:kern w:val="0"/>
          <w:sz w:val="32"/>
          <w:szCs w:val="32"/>
          <w:lang w:val="en-US" w:eastAsia="zh-CN" w:bidi="ar-SA"/>
        </w:rPr>
        <w:t>6</w:t>
      </w:r>
      <w:r>
        <w:rPr>
          <w:rFonts w:hint="eastAsia" w:ascii="仿宋_GB2312" w:hAnsi="仿宋_GB2312" w:eastAsia="仿宋_GB2312" w:cs="仿宋_GB2312"/>
          <w:color w:val="000000"/>
          <w:kern w:val="0"/>
          <w:sz w:val="32"/>
          <w:szCs w:val="32"/>
          <w:lang w:val="zh-CN" w:eastAsia="zh-CN" w:bidi="ar-SA"/>
        </w:rPr>
        <w:t>月</w:t>
      </w:r>
      <w:r>
        <w:rPr>
          <w:rFonts w:hint="eastAsia" w:ascii="仿宋_GB2312" w:hAnsi="仿宋_GB2312" w:eastAsia="仿宋_GB2312" w:cs="仿宋_GB2312"/>
          <w:color w:val="000000"/>
          <w:kern w:val="0"/>
          <w:sz w:val="32"/>
          <w:szCs w:val="32"/>
          <w:lang w:val="en-US" w:eastAsia="zh-CN" w:bidi="ar-SA"/>
        </w:rPr>
        <w:t>7</w:t>
      </w:r>
      <w:r>
        <w:rPr>
          <w:rFonts w:hint="eastAsia" w:ascii="仿宋_GB2312" w:hAnsi="仿宋_GB2312" w:eastAsia="仿宋_GB2312" w:cs="仿宋_GB2312"/>
          <w:color w:val="000000"/>
          <w:kern w:val="0"/>
          <w:sz w:val="32"/>
          <w:szCs w:val="32"/>
          <w:lang w:val="zh-CN" w:eastAsia="zh-CN" w:bidi="ar-SA"/>
        </w:rPr>
        <w:t>日</w:t>
      </w:r>
      <w:r>
        <w:rPr>
          <w:rFonts w:hint="eastAsia" w:ascii="仿宋_GB2312" w:hAnsi="仿宋_GB2312" w:eastAsia="仿宋_GB2312" w:cs="仿宋_GB2312"/>
          <w:color w:val="000000"/>
          <w:kern w:val="0"/>
          <w:sz w:val="32"/>
          <w:szCs w:val="32"/>
          <w:lang w:val="en-US" w:eastAsia="zh-CN" w:bidi="ar-SA"/>
        </w:rPr>
        <w:t xml:space="preserve">            </w:t>
      </w:r>
    </w:p>
    <w:p>
      <w:pPr>
        <w:keepNext w:val="0"/>
        <w:keepLines w:val="0"/>
        <w:pageBreakBefore w:val="0"/>
        <w:kinsoku/>
        <w:wordWrap/>
        <w:overflowPunct/>
        <w:topLinePunct w:val="0"/>
        <w:autoSpaceDE w:val="0"/>
        <w:autoSpaceDN w:val="0"/>
        <w:bidi w:val="0"/>
        <w:adjustRightInd w:val="0"/>
        <w:snapToGrid/>
        <w:spacing w:line="579" w:lineRule="exact"/>
        <w:ind w:left="0" w:right="0" w:firstLine="640" w:firstLineChars="200"/>
        <w:jc w:val="center"/>
        <w:textAlignment w:val="auto"/>
        <w:outlineLvl w:val="2"/>
      </w:pPr>
      <w:r>
        <w:rPr>
          <w:rFonts w:hint="eastAsia" w:ascii="仿宋_GB2312" w:hAnsi="仿宋_GB2312" w:eastAsia="仿宋_GB2312" w:cs="仿宋_GB2312"/>
          <w:color w:val="000000"/>
          <w:kern w:val="0"/>
          <w:sz w:val="32"/>
          <w:szCs w:val="32"/>
          <w:lang w:val="zh-CN" w:eastAsia="zh-CN" w:bidi="ar-SA"/>
        </w:rPr>
        <w:t>（联系人：耿瞳，联系电话：</w:t>
      </w:r>
      <w:r>
        <w:rPr>
          <w:rFonts w:hint="eastAsia" w:ascii="仿宋_GB2312" w:hAnsi="仿宋_GB2312" w:eastAsia="仿宋_GB2312" w:cs="仿宋_GB2312"/>
          <w:color w:val="000000"/>
          <w:kern w:val="0"/>
          <w:sz w:val="32"/>
          <w:szCs w:val="32"/>
          <w:lang w:val="en-US" w:eastAsia="zh-CN" w:bidi="ar-SA"/>
        </w:rPr>
        <w:t>83128211)</w:t>
      </w:r>
    </w:p>
    <w:bookmarkEnd w:id="0"/>
    <w:sectPr>
      <w:headerReference r:id="rId3" w:type="default"/>
      <w:footerReference r:id="rId4" w:type="default"/>
      <w:footerReference r:id="rId5" w:type="even"/>
      <w:pgSz w:w="11906" w:h="16838"/>
      <w:pgMar w:top="2098" w:right="1474" w:bottom="1984" w:left="1587" w:header="851"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rPr>
        <w:rFonts w:hint="eastAsia" w:ascii="Times New Roman" w:hAnsi="Times New Roman" w:eastAsia="宋体" w:cs="Times New Roman"/>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left="420" w:leftChars="200"/>
      <w:rPr>
        <w:rStyle w:val="6"/>
        <w:rFonts w:hint="eastAsia" w:ascii="宋体" w:hAnsi="宋体" w:eastAsia="宋体" w:cs="Times New Roman"/>
        <w:sz w:val="28"/>
        <w:szCs w:val="28"/>
      </w:rPr>
    </w:pPr>
    <w:r>
      <w:rPr>
        <w:rStyle w:val="6"/>
        <w:rFonts w:hint="eastAsia" w:ascii="宋体" w:hAnsi="宋体" w:eastAsia="宋体" w:cs="Times New Roman"/>
        <w:sz w:val="28"/>
        <w:szCs w:val="28"/>
      </w:rPr>
      <w:t xml:space="preserve">― </w:t>
    </w:r>
    <w:r>
      <w:rPr>
        <w:rFonts w:ascii="宋体" w:hAnsi="宋体" w:eastAsia="宋体" w:cs="Times New Roman"/>
        <w:sz w:val="28"/>
        <w:szCs w:val="28"/>
      </w:rPr>
      <w:fldChar w:fldCharType="begin"/>
    </w:r>
    <w:r>
      <w:rPr>
        <w:rStyle w:val="6"/>
        <w:rFonts w:ascii="宋体" w:hAnsi="宋体" w:eastAsia="宋体" w:cs="Times New Roman"/>
        <w:sz w:val="28"/>
        <w:szCs w:val="28"/>
      </w:rPr>
      <w:instrText xml:space="preserve">PAGE  </w:instrText>
    </w:r>
    <w:r>
      <w:rPr>
        <w:rFonts w:ascii="宋体" w:hAnsi="宋体" w:eastAsia="宋体" w:cs="Times New Roman"/>
        <w:sz w:val="28"/>
        <w:szCs w:val="28"/>
      </w:rPr>
      <w:fldChar w:fldCharType="separate"/>
    </w:r>
    <w:r>
      <w:rPr>
        <w:rStyle w:val="6"/>
        <w:rFonts w:ascii="宋体" w:hAnsi="宋体" w:eastAsia="宋体" w:cs="Times New Roman"/>
        <w:sz w:val="28"/>
        <w:szCs w:val="28"/>
      </w:rPr>
      <w:t>2</w:t>
    </w:r>
    <w:r>
      <w:rPr>
        <w:rFonts w:ascii="宋体" w:hAnsi="宋体" w:eastAsia="宋体" w:cs="Times New Roman"/>
        <w:sz w:val="28"/>
        <w:szCs w:val="28"/>
      </w:rPr>
      <w:fldChar w:fldCharType="end"/>
    </w:r>
    <w:r>
      <w:rPr>
        <w:rStyle w:val="6"/>
        <w:rFonts w:hint="eastAsia" w:ascii="宋体" w:hAnsi="宋体" w:eastAsia="宋体" w:cs="Times New Roman"/>
        <w:sz w:val="28"/>
        <w:szCs w:val="28"/>
      </w:rPr>
      <w:t xml:space="preserve"> ― </w:t>
    </w:r>
  </w:p>
  <w:p>
    <w:pPr>
      <w:pStyle w:val="2"/>
      <w:ind w:right="360" w:firstLine="360"/>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ascii="Times New Roman" w:hAnsi="Times New Roman"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D6479"/>
    <w:multiLevelType w:val="singleLevel"/>
    <w:tmpl w:val="858D6479"/>
    <w:lvl w:ilvl="0" w:tentative="0">
      <w:start w:val="1"/>
      <w:numFmt w:val="chineseCounting"/>
      <w:suff w:val="nothing"/>
      <w:lvlText w:val="%1、"/>
      <w:lvlJc w:val="left"/>
      <w:rPr>
        <w:rFonts w:hint="eastAsia"/>
      </w:rPr>
    </w:lvl>
  </w:abstractNum>
  <w:abstractNum w:abstractNumId="1">
    <w:nsid w:val="76EE8103"/>
    <w:multiLevelType w:val="singleLevel"/>
    <w:tmpl w:val="76EE810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CFDE44B"/>
    <w:rsid w:val="BCFDE44B"/>
    <w:rsid w:val="FFEBA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character" w:styleId="6">
    <w:name w:val="page number"/>
    <w:qFormat/>
    <w:uiPriority w:val="0"/>
    <w:rPr>
      <w:rFonts w:ascii="Tahoma" w:hAnsi="Tahoma"/>
      <w:sz w:val="24"/>
      <w:szCs w:val="20"/>
    </w:rPr>
  </w:style>
  <w:style w:type="paragraph" w:customStyle="1" w:styleId="7">
    <w:name w:val="p0"/>
    <w:qFormat/>
    <w:uiPriority w:val="0"/>
    <w:pPr>
      <w:widowControl/>
      <w:jc w:val="both"/>
    </w:pPr>
    <w:rPr>
      <w:rFonts w:ascii="Times New Roman" w:hAnsi="Times New Roman" w:eastAsia="宋体" w:cs="Times New Roman"/>
      <w:kern w:val="0"/>
      <w:sz w:val="21"/>
      <w:szCs w:val="21"/>
      <w:lang w:val="en-US" w:eastAsia="zh-CN" w:bidi="ar-SA"/>
    </w:rPr>
  </w:style>
  <w:style w:type="paragraph" w:customStyle="1" w:styleId="8">
    <w:name w:val="p17"/>
    <w:qFormat/>
    <w:uiPriority w:val="0"/>
    <w:pPr>
      <w:widowControl/>
      <w:ind w:firstLine="630"/>
      <w:jc w:val="both"/>
    </w:pPr>
    <w:rPr>
      <w:rFonts w:ascii="仿宋_GB2312" w:hAnsi="宋体" w:eastAsia="仿宋_GB2312" w:cs="宋体"/>
      <w:kern w:val="0"/>
      <w:sz w:val="32"/>
      <w:szCs w:val="32"/>
      <w:lang w:val="en-US" w:eastAsia="zh-CN" w:bidi="ar-SA"/>
    </w:rPr>
  </w:style>
  <w:style w:type="paragraph" w:customStyle="1" w:styleId="9">
    <w:name w:val=" Char Char Char Char Char Char"/>
    <w:qFormat/>
    <w:uiPriority w:val="0"/>
    <w:pPr>
      <w:widowControl w:val="0"/>
      <w:jc w:val="both"/>
    </w:pPr>
    <w:rPr>
      <w:rFonts w:ascii="Tahoma" w:hAnsi="Tahoma" w:eastAsia="宋体" w:cs="Times New Roman"/>
      <w:kern w:val="2"/>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2024-06-19T18:10:00Z</dcterms:created>
  <dc:creator>zhongyan</dc:creator>
  <cp:lastModifiedBy>钟燕</cp:lastModifiedBy>
  <dcterms:modified xsi:type="dcterms:W3CDTF">2024-06-19T18:10:40Z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9AA35CFAF8535F7578AE7266592C2091</vt:lpwstr>
  </property>
</Properties>
</file>