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62CC3">
      <w:pPr>
        <w:spacing w:line="560" w:lineRule="exact"/>
        <w:jc w:val="right"/>
        <w:rPr>
          <w:rFonts w:hint="eastAsia" w:ascii="仿宋_GB2312" w:eastAsia="仿宋_GB2312"/>
          <w:sz w:val="32"/>
        </w:rPr>
      </w:pPr>
    </w:p>
    <w:p w14:paraId="526CCABE">
      <w:pPr>
        <w:pStyle w:val="10"/>
        <w:spacing w:line="5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福田区城市管理和综合执法局关于深圳市福田区政协会议委员提案第2024025号的答复</w:t>
      </w:r>
    </w:p>
    <w:p w14:paraId="36F88075">
      <w:pPr>
        <w:pStyle w:val="10"/>
        <w:spacing w:line="540" w:lineRule="exact"/>
        <w:rPr>
          <w:rFonts w:hint="eastAsia" w:ascii="宋体" w:hAnsi="宋体"/>
          <w:b w:val="0"/>
          <w:bCs/>
          <w:sz w:val="44"/>
          <w:szCs w:val="44"/>
        </w:rPr>
      </w:pPr>
    </w:p>
    <w:p w14:paraId="4476EA40">
      <w:pPr>
        <w:pStyle w:val="10"/>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尊敬的</w:t>
      </w:r>
      <w:r>
        <w:rPr>
          <w:rFonts w:hint="eastAsia" w:ascii="仿宋_GB2312" w:hAnsi="仿宋_GB2312" w:eastAsia="仿宋_GB2312" w:cs="仿宋_GB2312"/>
          <w:b w:val="0"/>
          <w:bCs/>
          <w:sz w:val="32"/>
          <w:szCs w:val="32"/>
          <w:lang w:val="en-US" w:eastAsia="zh-CN"/>
        </w:rPr>
        <w:t>钟如仕</w:t>
      </w:r>
      <w:r>
        <w:rPr>
          <w:rFonts w:hint="eastAsia" w:ascii="仿宋_GB2312" w:hAnsi="仿宋_GB2312" w:eastAsia="仿宋_GB2312" w:cs="仿宋_GB2312"/>
          <w:sz w:val="32"/>
          <w:szCs w:val="32"/>
        </w:rPr>
        <w:t>代表：</w:t>
      </w:r>
    </w:p>
    <w:p w14:paraId="3B75135F">
      <w:pPr>
        <w:pStyle w:val="11"/>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w:t>
      </w:r>
      <w:r>
        <w:rPr>
          <w:rFonts w:hint="eastAsia" w:hAnsi="仿宋_GB2312" w:cs="仿宋_GB2312"/>
          <w:sz w:val="32"/>
          <w:szCs w:val="32"/>
          <w:lang w:eastAsia="zh-CN"/>
        </w:rPr>
        <w:t>《</w:t>
      </w:r>
      <w:r>
        <w:rPr>
          <w:rFonts w:hint="eastAsia" w:ascii="仿宋_GB2312" w:hAnsi="仿宋_GB2312" w:eastAsia="仿宋_GB2312" w:cs="仿宋_GB2312"/>
          <w:sz w:val="32"/>
          <w:szCs w:val="32"/>
        </w:rPr>
        <w:t>关于加强福田区城中村生活垃圾分类回收管理和资源化再利用的建议</w:t>
      </w:r>
      <w:r>
        <w:rPr>
          <w:rFonts w:hint="eastAsia" w:hAnsi="仿宋_GB2312" w:cs="仿宋_GB2312"/>
          <w:sz w:val="32"/>
          <w:szCs w:val="32"/>
          <w:lang w:eastAsia="zh-CN"/>
        </w:rPr>
        <w:t>》</w:t>
      </w:r>
      <w:r>
        <w:rPr>
          <w:rFonts w:hint="eastAsia" w:ascii="仿宋_GB2312" w:hAnsi="仿宋_GB2312" w:eastAsia="仿宋_GB2312" w:cs="仿宋_GB2312"/>
          <w:sz w:val="32"/>
          <w:szCs w:val="32"/>
          <w:lang w:val="en-US" w:eastAsia="zh-CN"/>
        </w:rPr>
        <w:t>(第</w:t>
      </w:r>
      <w:r>
        <w:rPr>
          <w:rFonts w:hint="eastAsia" w:hAnsi="仿宋_GB2312" w:cs="仿宋_GB2312"/>
          <w:sz w:val="32"/>
          <w:szCs w:val="32"/>
          <w:lang w:val="en-US" w:eastAsia="zh-CN"/>
        </w:rPr>
        <w:t>2024025</w:t>
      </w:r>
      <w:r>
        <w:rPr>
          <w:rFonts w:hint="eastAsia" w:ascii="仿宋_GB2312" w:hAnsi="仿宋_GB2312" w:eastAsia="仿宋_GB2312" w:cs="仿宋_GB2312"/>
          <w:sz w:val="32"/>
          <w:szCs w:val="32"/>
          <w:lang w:val="en-US" w:eastAsia="zh-CN"/>
        </w:rPr>
        <w:t>号）</w:t>
      </w:r>
      <w:r>
        <w:rPr>
          <w:rFonts w:hint="eastAsia" w:ascii="仿宋_GB2312" w:hAnsi="仿宋_GB2312" w:eastAsia="仿宋_GB2312" w:cs="仿宋_GB2312"/>
          <w:sz w:val="32"/>
          <w:szCs w:val="32"/>
        </w:rPr>
        <w:t>已收悉。感谢您对我区城市管理工作的支持和关心，现将办理情况答复如下：</w:t>
      </w:r>
    </w:p>
    <w:p w14:paraId="1A9D9F32">
      <w:pPr>
        <w:pStyle w:val="11"/>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一、完善监管体系，建立城中村特色生活垃圾分类机制</w:t>
      </w:r>
    </w:p>
    <w:p w14:paraId="6050A7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一是加强顶层设计。我区对照《条例》要求,根据区委、区政府关于垃圾分类工作的部署安排，结合《福田区推进生活垃圾分类工作高质量发展三年行动计划（2023-2025年）》《2024年生活垃圾分类工作补短板百日提升专项行动方案》任务，制定《福田区2024年生活垃圾分类工作补短板百日提升专项行动方案》《福田区厨余及再生资源“一户一码”智慧回收工作方案》并印发，在全区组织开展2024年生活垃圾分类工作补短板百日提升专项行动并探索“一户一码”生活垃圾分类模式改革创新，推广“一户一码”，全面补齐我区前端生活垃圾分类管理短板，健全基层垃圾分类的长效管理机制，同时创新开展城中村垃圾分类工作，以城中村再生资源回收为突破口，推动居民群众参与率显著提升，打造城中村垃圾分类示范点，实现城中村和老旧小区等重点场所垃圾分类投放点的全面提升。</w:t>
      </w:r>
    </w:p>
    <w:p w14:paraId="1DEDE8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二是推动全民监督。市民可拨打12345市长热线反馈城中村垃圾分类问题，根据黄伟书记有关批示要求，我区严格遵守《福田区“民意速办”智能化主动治理机制实施办法(试行)》的规定，落实《福田区民生诉求职责清单(2022 版)》，速应民意，做到“10 分钟内回应联系、半小时内约见”，进一步促进城中村垃圾分类工作透明化、民主化、规范化。</w:t>
      </w:r>
    </w:p>
    <w:p w14:paraId="524040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二、提升扶持力度，促进多方参与</w:t>
      </w:r>
    </w:p>
    <w:p w14:paraId="663980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我区积极探索智慧赋能生活垃圾分类治理，在不打破原有的市场运营体系的基础上引入回收企业，通过走进企业送服务、听诉求，在服务招采中设置鼓励企业创新，鼓励和建议各街道以“零费用”模式与回收企业合作，由企业在试点小区增加智能厨余投放设备及积分兑换柜，搭建智慧化运营平台，加强对平台运维管理，并由专员定期对智能投放设备及后台数据进行核对更新，实现了政府可掌握每个小区的真实分类量、分类动态与分类的优劣情况。打造了政府部门-运营（回收）企业-巡检专员-业主用户的各级联动，做到相互监督管理，避免出现管理漏洞。近期，周江涛区长组织开展企业座谈会，就深化政企合作、规划厨余垃圾处理等前沿领域内容进行座谈交流。部分集团企业计划将部分公司迁往福田区，助力福田区税收，打造福田区“基础研究+技术攻关+成果转化+科技金融+人才支撑+区域联动” 创新生态。会议要求，由区科创局进一步与企业对接，紧贴市场、产业和企业需求，为高素质技术技能人才提供办公用房、人才住房、落户直通车等“套餐化”“一站式”服务及相应支持。福田区委区政府将一如既往支持企业高质量发展，以实际行动为企业高质量发展保驾护航。</w:t>
      </w:r>
    </w:p>
    <w:p w14:paraId="50AEF9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黑体" w:hAnsi="黑体" w:eastAsia="黑体" w:cs="黑体"/>
          <w:color w:val="auto"/>
          <w:kern w:val="0"/>
          <w:sz w:val="32"/>
          <w:szCs w:val="32"/>
          <w:lang w:val="en-US" w:eastAsia="zh-CN" w:bidi="ar-SA"/>
        </w:rPr>
        <w:t>三、创新奖励机制，调动城中村居民生活垃圾分类积极性</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一是探索碳普惠奖励机制。我区通过“深碳未来”智慧管理平台，打造居商联动，促消费拉经济。目前用户端小程序已有20余家商户入驻平台，包括麦当劳、喜茶、万利记、老碗会、啫火、海楠里椰子鸡、禧牛荟、四季椰林、万绿湖等知名连锁品牌。商户与居民在平台内进行联动，居民可用厨余分类的积分兑换社区商户的优惠券（例如折扣、团购、代金券等），借助平台力量，结合社群宣传，活跃社区经济，令商家与居民同时得到实惠，同时激发居民与商户分类的积极性，使居民逐渐从“要我分”转为“我要分”。</w:t>
      </w:r>
    </w:p>
    <w:p w14:paraId="60F567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二是丰富城中村及周边校园的青少年宣传活动和奖励机制。我区打造福田特色的垃圾分类品牌活动，以“蒲公英进校园”为接入点，深入拓展垃圾分类蒲公英计划，培养更多学校在职教师加入“蒲公英教师”队伍，切实发挥“金色蒲公英”和“金牌小义工”示范作用，引导、教育孩子们养成终身垃圾分类的环保理念和良好习惯，“小手拉大手”带动千家万户成为垃圾分类的倡导者与行动者。2024年上半年，区城管局开展“蒲公英计划深拓展”微课堂进学校活动13场，培训师生3266人。在常态化开展垃圾分类主题宣教活动过程中，我区充分重视发挥青少年力量，如：区城管局组织“点亮志愿微光，燃动青春炬火！”深圳小学生走进市生活垃圾分类科普馆开展志愿净园行动、举办以“跨学科融合，校家社携手”为主题的深圳市校园蒲公英计划深拓展系列主题活动、华强北街道组织“垃圾分类，与我童行”垃圾分类宣传活动、莲花街道开展“莲花绽放绿动力，童心献礼建党情”垃圾分类宣传活动、沙头街道开展“红领巾小巡查员”志愿服务体验活动等，培养青少年“社区小主人翁”的意识，让环保的种子播撒在孩子心中。</w:t>
      </w:r>
    </w:p>
    <w:p w14:paraId="076749B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提高自动化水平，实现垃圾分类智能化
</w:t>
      </w:r>
    </w:p>
    <w:p w14:paraId="6DAF7874">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一是福田区城市管理和综合执法局推进物联感知系统在社区、小区上线应用，将垃圾分类各个环节如分类、收运、处理、资源化、减碳等动态，通过平台系统进行数字化监控管理。以“视频+AI智慧”识别垃圾分类情况，进行长效监管，并将实时数据以可视化的方式一屏统览，前端摄像头已装有外放喇叭，视频传输链路加了视频压缩加密设备，系统后台暂时无法把语音指令发送给前端摄像头播放，项目承建方在和设备厂商协调相关方案，下一步计划邀请专家进行技术论证。</w:t>
      </w:r>
    </w:p>
    <w:p w14:paraId="0250858C">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二是我区积极创新探索智慧赋能垃圾分类治理，选取园岭街道园岭新村为试点，因地制宜，结合园岭街道试点区域已有的厨余末端处理站，率先采用“自动破袋分拣+生物转化”厨余垃圾处理新技术，推行垃圾处理新技术，新技术每小时可处理厨余垃圾5-7吨，日处理量可达100吨，处理速度快，效率高，在做到日产日清的同时，不外排污水、不产生异味，充分规避邻避效应。厨余垃圾经过设备处理后产出物经无害化处理，采用昆虫生物转化技术，利用厨余处理产出物养殖黑水虻，实现厨余垃圾100%资源化再利用。保证垃圾就地处理、不出辖区，缓解集中处理压力，提升垃圾处理效率，日处理量可达近100吨，确保垃圾处理全程零污水、零异味、零投诉。成效明显，创造财政节流新效益。据统计，园岭新村开展厨余垃圾全链条管理试点以来，共节省人工督导费用近350万元，节省第三方服务费80万元，厨余垃圾处理费从原来1000元/吨降至460元/吨，节省污水处理费约40万元，在收运费用不增加的前提下，收运量从200桶增至500桶，效率提升2.5倍。</w:t>
      </w:r>
    </w:p>
    <w:p w14:paraId="17AD7233">
      <w:pPr>
        <w:pStyle w:val="10"/>
        <w:numPr>
          <w:ilvl w:val="0"/>
          <w:numId w:val="0"/>
        </w:numPr>
        <w:spacing w:line="540" w:lineRule="exact"/>
        <w:ind w:firstLine="640" w:firstLineChars="200"/>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五、下一步工作计划</w:t>
      </w:r>
    </w:p>
    <w:p w14:paraId="507420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一是在全区推行厨余垃圾处理链条一体化模式。</w:t>
      </w:r>
      <w:r>
        <w:rPr>
          <w:rFonts w:hint="eastAsia" w:ascii="仿宋_GB2312" w:hAnsi="仿宋_GB2312" w:eastAsia="仿宋_GB2312" w:cs="仿宋_GB2312"/>
          <w:color w:val="auto"/>
          <w:sz w:val="32"/>
          <w:szCs w:val="32"/>
          <w:lang w:val="en-US" w:eastAsia="zh-CN"/>
        </w:rPr>
        <w:t>园岭街道试点后，我局将持续</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推进，实现</w:t>
      </w:r>
      <w:r>
        <w:rPr>
          <w:rFonts w:hint="eastAsia" w:ascii="仿宋_GB2312" w:hAnsi="仿宋_GB2312" w:eastAsia="仿宋_GB2312" w:cs="仿宋_GB2312"/>
          <w:color w:val="auto"/>
          <w:sz w:val="32"/>
          <w:szCs w:val="32"/>
          <w:lang w:val="en-US" w:eastAsia="zh-CN"/>
        </w:rPr>
        <w:t>厨余垃圾处理链条一体化模式</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园岭街道全覆盖和辖区全覆盖，并</w:t>
      </w:r>
      <w:r>
        <w:rPr>
          <w:rFonts w:hint="eastAsia" w:ascii="仿宋_GB2312" w:hAnsi="仿宋_GB2312" w:eastAsia="仿宋_GB2312" w:cs="仿宋_GB2312"/>
          <w:color w:val="auto"/>
          <w:sz w:val="32"/>
          <w:szCs w:val="32"/>
        </w:rPr>
        <w:t>同步制</w:t>
      </w:r>
      <w:r>
        <w:rPr>
          <w:rFonts w:hint="eastAsia" w:ascii="仿宋_GB2312" w:hAnsi="仿宋_GB2312" w:eastAsia="仿宋_GB2312" w:cs="仿宋_GB2312"/>
          <w:color w:val="auto"/>
          <w:sz w:val="32"/>
          <w:szCs w:val="32"/>
          <w:lang w:eastAsia="zh-CN"/>
        </w:rPr>
        <w:t>定</w:t>
      </w:r>
      <w:r>
        <w:rPr>
          <w:rFonts w:hint="eastAsia" w:ascii="仿宋_GB2312" w:hAnsi="仿宋_GB2312" w:eastAsia="仿宋_GB2312" w:cs="仿宋_GB2312"/>
          <w:color w:val="auto"/>
          <w:sz w:val="32"/>
          <w:szCs w:val="32"/>
        </w:rPr>
        <w:t>厨余垃圾处理链条一体化</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rPr>
        <w:t>各类标准，将</w:t>
      </w:r>
      <w:r>
        <w:rPr>
          <w:rFonts w:hint="eastAsia" w:ascii="仿宋_GB2312" w:hAnsi="仿宋_GB2312" w:eastAsia="仿宋_GB2312" w:cs="仿宋_GB2312"/>
          <w:color w:val="auto"/>
          <w:sz w:val="32"/>
          <w:szCs w:val="32"/>
          <w:lang w:eastAsia="zh-CN"/>
        </w:rPr>
        <w:t>形成</w:t>
      </w:r>
      <w:r>
        <w:rPr>
          <w:rFonts w:hint="eastAsia" w:ascii="仿宋_GB2312" w:hAnsi="仿宋_GB2312" w:eastAsia="仿宋_GB2312" w:cs="仿宋_GB2312"/>
          <w:color w:val="auto"/>
          <w:sz w:val="32"/>
          <w:szCs w:val="32"/>
        </w:rPr>
        <w:t>可持续、可复制的模式推广下</w:t>
      </w:r>
      <w:r>
        <w:rPr>
          <w:rFonts w:hint="eastAsia" w:ascii="仿宋_GB2312" w:hAnsi="仿宋_GB2312" w:eastAsia="仿宋_GB2312" w:cs="仿宋_GB2312"/>
          <w:sz w:val="32"/>
          <w:szCs w:val="32"/>
        </w:rPr>
        <w:t>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提升我区</w:t>
      </w:r>
      <w:r>
        <w:rPr>
          <w:rFonts w:hint="eastAsia" w:ascii="仿宋_GB2312" w:hAnsi="仿宋_GB2312" w:eastAsia="仿宋_GB2312" w:cs="仿宋_GB2312"/>
          <w:color w:val="auto"/>
          <w:sz w:val="32"/>
          <w:szCs w:val="32"/>
        </w:rPr>
        <w:t>厨余</w:t>
      </w:r>
      <w:r>
        <w:rPr>
          <w:rFonts w:hint="eastAsia" w:ascii="仿宋_GB2312" w:hAnsi="仿宋_GB2312" w:eastAsia="仿宋_GB2312" w:cs="仿宋_GB2312"/>
          <w:color w:val="auto"/>
          <w:sz w:val="32"/>
          <w:szCs w:val="32"/>
          <w:lang w:eastAsia="zh-CN"/>
        </w:rPr>
        <w:t>垃圾的</w:t>
      </w:r>
      <w:r>
        <w:rPr>
          <w:rFonts w:hint="eastAsia" w:ascii="仿宋_GB2312" w:hAnsi="仿宋_GB2312" w:eastAsia="仿宋_GB2312" w:cs="仿宋_GB2312"/>
          <w:color w:val="auto"/>
          <w:sz w:val="32"/>
          <w:szCs w:val="32"/>
        </w:rPr>
        <w:t>分出率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二是在全区推行“一户一码”智慧回收新模式。</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该模式可为城中村、老旧小区、生活小区垃圾收集点和“三小”商户进行赋码收运，</w:t>
      </w:r>
      <w:r>
        <w:rPr>
          <w:rFonts w:hint="eastAsia" w:ascii="仿宋_GB2312" w:hAnsi="仿宋_GB2312" w:eastAsia="仿宋_GB2312" w:cs="仿宋_GB2312"/>
          <w:sz w:val="32"/>
          <w:szCs w:val="32"/>
        </w:rPr>
        <w:t>垃圾处理企业准时收运、</w:t>
      </w:r>
      <w:r>
        <w:rPr>
          <w:rFonts w:hint="eastAsia" w:ascii="仿宋_GB2312" w:hAnsi="仿宋_GB2312" w:eastAsia="仿宋_GB2312" w:cs="仿宋_GB2312"/>
          <w:sz w:val="32"/>
          <w:szCs w:val="32"/>
          <w:lang w:val="en-US" w:eastAsia="zh-CN"/>
        </w:rPr>
        <w:t>实时</w:t>
      </w:r>
      <w:r>
        <w:rPr>
          <w:rFonts w:hint="eastAsia" w:ascii="仿宋_GB2312" w:hAnsi="仿宋_GB2312" w:eastAsia="仿宋_GB2312" w:cs="仿宋_GB2312"/>
          <w:sz w:val="32"/>
          <w:szCs w:val="32"/>
        </w:rPr>
        <w:t>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不再“坐等上门”，</w:t>
      </w:r>
      <w:r>
        <w:rPr>
          <w:rFonts w:hint="eastAsia" w:ascii="仿宋_GB2312" w:hAnsi="仿宋_GB2312" w:eastAsia="仿宋_GB2312" w:cs="仿宋_GB2312"/>
          <w:sz w:val="32"/>
          <w:szCs w:val="32"/>
          <w:lang w:val="en-US" w:eastAsia="zh-CN"/>
        </w:rPr>
        <w:t>通过精准</w:t>
      </w:r>
      <w:r>
        <w:rPr>
          <w:rFonts w:hint="eastAsia" w:ascii="仿宋_GB2312" w:hAnsi="仿宋_GB2312" w:eastAsia="仿宋_GB2312" w:cs="仿宋_GB2312"/>
          <w:sz w:val="32"/>
          <w:szCs w:val="32"/>
        </w:rPr>
        <w:t>计算每</w:t>
      </w:r>
      <w:r>
        <w:rPr>
          <w:rFonts w:hint="eastAsia" w:ascii="仿宋_GB2312" w:hAnsi="仿宋_GB2312" w:eastAsia="仿宋_GB2312" w:cs="仿宋_GB2312"/>
          <w:sz w:val="32"/>
          <w:szCs w:val="32"/>
          <w:lang w:val="en-US" w:eastAsia="zh-CN"/>
        </w:rPr>
        <w:t>家庭户每商户</w:t>
      </w:r>
      <w:r>
        <w:rPr>
          <w:rFonts w:hint="eastAsia" w:ascii="仿宋_GB2312" w:hAnsi="仿宋_GB2312" w:eastAsia="仿宋_GB2312" w:cs="仿宋_GB2312"/>
          <w:sz w:val="32"/>
          <w:szCs w:val="32"/>
        </w:rPr>
        <w:t>垃圾分出情况，溯源分析收运数据，将异常点位及时反馈执法部门，</w:t>
      </w:r>
      <w:r>
        <w:rPr>
          <w:rFonts w:hint="eastAsia" w:ascii="仿宋_GB2312" w:hAnsi="仿宋_GB2312" w:eastAsia="仿宋_GB2312" w:cs="仿宋_GB2312"/>
          <w:sz w:val="32"/>
          <w:szCs w:val="32"/>
          <w:lang w:val="en-US" w:eastAsia="zh-CN"/>
        </w:rPr>
        <w:t>确保</w:t>
      </w:r>
      <w:r>
        <w:rPr>
          <w:rFonts w:hint="eastAsia" w:ascii="仿宋_GB2312" w:hAnsi="仿宋_GB2312" w:eastAsia="仿宋_GB2312" w:cs="仿宋_GB2312"/>
          <w:sz w:val="32"/>
          <w:szCs w:val="32"/>
        </w:rPr>
        <w:t>监督精准、处罚</w:t>
      </w:r>
      <w:r>
        <w:rPr>
          <w:rFonts w:hint="eastAsia" w:ascii="仿宋_GB2312" w:hAnsi="仿宋_GB2312" w:eastAsia="仿宋_GB2312" w:cs="仿宋_GB2312"/>
          <w:sz w:val="32"/>
          <w:szCs w:val="32"/>
          <w:lang w:val="en-US" w:eastAsia="zh-CN"/>
        </w:rPr>
        <w:t>到位</w:t>
      </w:r>
      <w:r>
        <w:rPr>
          <w:rFonts w:hint="eastAsia" w:ascii="仿宋_GB2312" w:hAnsi="仿宋_GB2312" w:eastAsia="仿宋_GB2312" w:cs="仿宋_GB2312"/>
          <w:sz w:val="32"/>
          <w:szCs w:val="32"/>
          <w:lang w:eastAsia="zh-CN"/>
        </w:rPr>
        <w:t>。</w:t>
      </w:r>
    </w:p>
    <w:p w14:paraId="1662515E">
      <w:pPr>
        <w:pStyle w:val="10"/>
        <w:spacing w:line="540" w:lineRule="exact"/>
        <w:ind w:firstLine="630"/>
        <w:rPr>
          <w:rFonts w:hint="eastAsia" w:ascii="仿宋_GB2312" w:eastAsia="仿宋_GB2312"/>
          <w:sz w:val="32"/>
          <w:szCs w:val="32"/>
        </w:rPr>
      </w:pPr>
      <w:r>
        <w:rPr>
          <w:rFonts w:hint="eastAsia" w:ascii="仿宋_GB2312" w:hAnsi="仿宋_GB2312" w:eastAsia="仿宋_GB2312" w:cs="仿宋_GB2312"/>
          <w:sz w:val="32"/>
          <w:szCs w:val="32"/>
        </w:rPr>
        <w:t>再次感谢您对我区城市管理工作的关心和支持，恳请您继续对城市管理工作多提宝贵意见。</w:t>
      </w:r>
    </w:p>
    <w:p w14:paraId="4BC24A11">
      <w:pPr>
        <w:spacing w:line="540" w:lineRule="exact"/>
        <w:ind w:left="-359" w:leftChars="-171" w:firstLine="640" w:firstLineChars="200"/>
        <w:rPr>
          <w:rFonts w:hint="eastAsia" w:ascii="仿宋_GB2312" w:eastAsia="仿宋_GB2312"/>
          <w:sz w:val="32"/>
          <w:szCs w:val="32"/>
        </w:rPr>
      </w:pPr>
    </w:p>
    <w:p w14:paraId="22113596">
      <w:pPr>
        <w:spacing w:line="540" w:lineRule="exact"/>
        <w:ind w:right="32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深圳市福田区城市管理和综合执法局</w:t>
      </w:r>
    </w:p>
    <w:p w14:paraId="717B8DF5">
      <w:pPr>
        <w:spacing w:line="540" w:lineRule="exact"/>
        <w:ind w:right="320"/>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15</w:t>
      </w:r>
      <w:r>
        <w:rPr>
          <w:rFonts w:hint="eastAsia" w:ascii="仿宋_GB2312" w:hAnsi="仿宋_GB2312" w:eastAsia="仿宋_GB2312" w:cs="仿宋_GB2312"/>
          <w:b w:val="0"/>
          <w:bCs w:val="0"/>
          <w:sz w:val="32"/>
          <w:szCs w:val="32"/>
        </w:rPr>
        <w:t>日</w:t>
      </w:r>
    </w:p>
    <w:p w14:paraId="5D045A95">
      <w:pPr>
        <w:spacing w:line="54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（联系人：</w:t>
      </w:r>
      <w:r>
        <w:rPr>
          <w:rFonts w:hint="eastAsia" w:ascii="仿宋_GB2312" w:hAnsi="仿宋_GB2312" w:eastAsia="仿宋_GB2312" w:cs="仿宋_GB2312"/>
          <w:b w:val="0"/>
          <w:bCs w:val="0"/>
          <w:sz w:val="32"/>
          <w:szCs w:val="32"/>
          <w:lang w:val="en-US" w:eastAsia="zh-CN"/>
        </w:rPr>
        <w:t>陈世均</w:t>
      </w:r>
      <w:r>
        <w:rPr>
          <w:rFonts w:hint="eastAsia" w:ascii="仿宋_GB2312" w:hAnsi="仿宋_GB2312" w:eastAsia="仿宋_GB2312" w:cs="仿宋_GB2312"/>
          <w:b w:val="0"/>
          <w:bCs w:val="0"/>
          <w:sz w:val="32"/>
          <w:szCs w:val="32"/>
        </w:rPr>
        <w:t>，联系电话：</w:t>
      </w:r>
      <w:r>
        <w:rPr>
          <w:rFonts w:hint="eastAsia" w:ascii="仿宋_GB2312" w:hAnsi="仿宋_GB2312" w:eastAsia="仿宋_GB2312" w:cs="仿宋_GB2312"/>
          <w:b w:val="0"/>
          <w:bCs w:val="0"/>
          <w:sz w:val="32"/>
          <w:szCs w:val="32"/>
          <w:lang w:val="en-US" w:eastAsia="zh-CN"/>
        </w:rPr>
        <w:t>18938993765</w:t>
      </w:r>
      <w:r>
        <w:rPr>
          <w:rFonts w:hint="eastAsia" w:ascii="仿宋_GB2312" w:hAnsi="仿宋_GB2312" w:eastAsia="仿宋_GB2312" w:cs="仿宋_GB2312"/>
          <w:b w:val="0"/>
          <w:bCs w:val="0"/>
          <w:sz w:val="32"/>
          <w:szCs w:val="32"/>
        </w:rPr>
        <w:t>）</w:t>
      </w:r>
      <w:bookmarkStart w:id="0" w:name="_GoBack"/>
      <w:bookmarkEnd w:id="0"/>
    </w:p>
    <w:p w14:paraId="02471FF9"/>
    <w:sectPr>
      <w:headerReference r:id="rId5" w:type="first"/>
      <w:footerReference r:id="rId8" w:type="first"/>
      <w:headerReference r:id="rId3" w:type="default"/>
      <w:footerReference r:id="rId6" w:type="default"/>
      <w:headerReference r:id="rId4" w:type="even"/>
      <w:footerReference r:id="rId7" w:type="even"/>
      <w:pgSz w:w="11906" w:h="16838"/>
      <w:pgMar w:top="2098" w:right="1588" w:bottom="1985" w:left="1588" w:header="851" w:footer="158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5C2C8">
    <w:pPr>
      <w:pStyle w:val="5"/>
      <w:framePr w:wrap="around" w:vAnchor="text" w:hAnchor="margin" w:xAlign="outside" w:y="1"/>
      <w:ind w:right="420" w:rightChars="200"/>
      <w:rPr>
        <w:rStyle w:val="9"/>
        <w:rFonts w:hint="eastAsia" w:ascii="宋体" w:hAnsi="宋体"/>
        <w:sz w:val="28"/>
        <w:szCs w:val="28"/>
      </w:rPr>
    </w:pPr>
    <w:r>
      <w:rPr>
        <w:rStyle w:val="9"/>
        <w:rFonts w:hint="eastAsia" w:ascii="宋体" w:hAnsi="宋体"/>
        <w:sz w:val="28"/>
        <w:szCs w:val="28"/>
      </w:rPr>
      <w:t xml:space="preserve">― </w:t>
    </w: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rPr>
      <w:t>3</w:t>
    </w:r>
    <w:r>
      <w:rPr>
        <w:rFonts w:ascii="宋体" w:hAnsi="宋体"/>
        <w:sz w:val="28"/>
        <w:szCs w:val="28"/>
      </w:rPr>
      <w:fldChar w:fldCharType="end"/>
    </w:r>
    <w:r>
      <w:rPr>
        <w:rStyle w:val="9"/>
        <w:rFonts w:hint="eastAsia" w:ascii="宋体" w:hAnsi="宋体"/>
        <w:sz w:val="28"/>
        <w:szCs w:val="28"/>
      </w:rPr>
      <w:t xml:space="preserve"> ―  </w:t>
    </w:r>
  </w:p>
  <w:p w14:paraId="7472E2CC">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2D6D7">
    <w:pPr>
      <w:pStyle w:val="5"/>
      <w:framePr w:wrap="around" w:vAnchor="text" w:hAnchor="margin" w:xAlign="outside" w:y="1"/>
      <w:ind w:left="420" w:leftChars="200"/>
      <w:rPr>
        <w:rStyle w:val="9"/>
        <w:rFonts w:hint="eastAsia" w:ascii="宋体" w:hAnsi="宋体"/>
        <w:sz w:val="28"/>
        <w:szCs w:val="28"/>
      </w:rPr>
    </w:pPr>
    <w:r>
      <w:rPr>
        <w:rStyle w:val="9"/>
        <w:rFonts w:hint="eastAsia" w:ascii="宋体" w:hAnsi="宋体"/>
        <w:sz w:val="28"/>
        <w:szCs w:val="28"/>
      </w:rPr>
      <w:t xml:space="preserve">― </w:t>
    </w: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rPr>
      <w:t>2</w:t>
    </w:r>
    <w:r>
      <w:rPr>
        <w:rFonts w:ascii="宋体" w:hAnsi="宋体"/>
        <w:sz w:val="28"/>
        <w:szCs w:val="28"/>
      </w:rPr>
      <w:fldChar w:fldCharType="end"/>
    </w:r>
    <w:r>
      <w:rPr>
        <w:rStyle w:val="9"/>
        <w:rFonts w:hint="eastAsia" w:ascii="宋体" w:hAnsi="宋体"/>
        <w:sz w:val="28"/>
        <w:szCs w:val="28"/>
      </w:rPr>
      <w:t xml:space="preserve"> ― </w:t>
    </w:r>
  </w:p>
  <w:p w14:paraId="2846B727">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1A6F6">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DBB34">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A09C4">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1B4ED">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B9386"/>
    <w:multiLevelType w:val="singleLevel"/>
    <w:tmpl w:val="942B938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yYzk0ODFlY2Y2NGE1MTMyNzExZTM2ZjY2Y2NkMzcifQ=="/>
  </w:docVars>
  <w:rsids>
    <w:rsidRoot w:val="69C815AB"/>
    <w:rsid w:val="0D277652"/>
    <w:rsid w:val="0E951E6F"/>
    <w:rsid w:val="292202CB"/>
    <w:rsid w:val="38FA391E"/>
    <w:rsid w:val="54912715"/>
    <w:rsid w:val="69C81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spacing w:before="100" w:beforeAutospacing="1" w:after="100" w:afterAutospacing="1"/>
      <w:jc w:val="left"/>
      <w:outlineLvl w:val="2"/>
    </w:pPr>
    <w:rPr>
      <w:rFonts w:hint="eastAsia" w:ascii="宋体" w:hAnsi="宋体" w:eastAsia="宋体" w:cs="Times New Roman"/>
      <w:b/>
      <w:kern w:val="0"/>
      <w:sz w:val="27"/>
      <w:szCs w:val="27"/>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Calibri" w:hAnsi="Calibri" w:eastAsia="宋体"/>
      <w:szCs w:val="24"/>
    </w:rPr>
  </w:style>
  <w:style w:type="paragraph" w:styleId="3">
    <w:name w:val="Title"/>
    <w:basedOn w:val="1"/>
    <w:next w:val="1"/>
    <w:qFormat/>
    <w:uiPriority w:val="0"/>
    <w:pPr>
      <w:spacing w:before="240" w:after="60"/>
      <w:jc w:val="center"/>
      <w:outlineLvl w:val="0"/>
    </w:pPr>
    <w:rPr>
      <w:rFonts w:ascii="Cambria" w:hAnsi="Cambria" w:eastAsia="宋体" w:cs="Times New Roman"/>
      <w:b/>
      <w:bCs/>
      <w:kern w:val="2"/>
      <w:sz w:val="32"/>
      <w:szCs w:val="32"/>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p0"/>
    <w:basedOn w:val="1"/>
    <w:qFormat/>
    <w:uiPriority w:val="0"/>
    <w:pPr>
      <w:widowControl/>
    </w:pPr>
    <w:rPr>
      <w:kern w:val="0"/>
      <w:szCs w:val="21"/>
    </w:rPr>
  </w:style>
  <w:style w:type="paragraph" w:customStyle="1" w:styleId="11">
    <w:name w:val="p17"/>
    <w:basedOn w:val="1"/>
    <w:qFormat/>
    <w:uiPriority w:val="0"/>
    <w:pPr>
      <w:widowControl/>
      <w:ind w:firstLine="630"/>
    </w:pPr>
    <w:rPr>
      <w:rFonts w:ascii="仿宋_GB2312" w:hAnsi="宋体" w:eastAsia="仿宋_GB2312" w:cs="宋体"/>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2829</Words>
  <Characters>2916</Characters>
  <Lines>0</Lines>
  <Paragraphs>0</Paragraphs>
  <TotalTime>0</TotalTime>
  <ScaleCrop>false</ScaleCrop>
  <LinksUpToDate>false</LinksUpToDate>
  <CharactersWithSpaces>2948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2024-08-13T06:59:00Z</dcterms:created>
  <dc:creator>蓝蓝</dc:creator>
  <cp:lastModifiedBy>Admin</cp:lastModifiedBy>
  <dcterms:modified xsi:type="dcterms:W3CDTF">2024-08-19T02:43:41Z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ACD9A757BB1B437FA32818A4FBFE87F4_12</vt:lpwstr>
  </property>
</Properties>
</file>