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579" w:lineRule="exact"/>
        <w:jc w:val="center"/>
        <w:rPr>
          <w:rFonts w:hint="eastAsia" w:ascii="方正小标宋简体" w:hAnsi="方正小标宋简体" w:eastAsia="方正小标宋简体" w:cs="方正小标宋简体"/>
          <w:sz w:val="44"/>
          <w:szCs w:val="44"/>
        </w:rPr>
      </w:pPr>
    </w:p>
    <w:p>
      <w:pPr>
        <w:widowControl/>
        <w:spacing w:line="579"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福田区城市管理和综合执法局关于深圳市</w:t>
      </w:r>
    </w:p>
    <w:p>
      <w:pPr>
        <w:pStyle w:val="9"/>
        <w:spacing w:line="579"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福田区政协六届四次会议委员提案</w:t>
      </w:r>
    </w:p>
    <w:p>
      <w:pPr>
        <w:widowControl/>
        <w:spacing w:line="579"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第</w:t>
      </w:r>
      <w:r>
        <w:rPr>
          <w:rFonts w:ascii="方正小标宋_GBK" w:hAnsi="方正小标宋_GBK" w:eastAsia="方正小标宋_GBK" w:cs="方正小标宋_GBK"/>
          <w:kern w:val="0"/>
          <w:sz w:val="44"/>
          <w:szCs w:val="44"/>
        </w:rPr>
        <w:t>2024152</w:t>
      </w:r>
      <w:r>
        <w:rPr>
          <w:rFonts w:hint="eastAsia" w:ascii="方正小标宋_GBK" w:hAnsi="方正小标宋_GBK" w:eastAsia="方正小标宋_GBK" w:cs="方正小标宋_GBK"/>
          <w:kern w:val="0"/>
          <w:sz w:val="44"/>
          <w:szCs w:val="44"/>
        </w:rPr>
        <w:t>号的承办意见</w:t>
      </w:r>
    </w:p>
    <w:p>
      <w:pPr>
        <w:pStyle w:val="9"/>
        <w:spacing w:line="579" w:lineRule="exact"/>
        <w:jc w:val="center"/>
        <w:rPr>
          <w:rFonts w:hint="eastAsia" w:ascii="方正小标宋简体" w:hAnsi="方正小标宋简体" w:eastAsia="方正小标宋简体" w:cs="方正小标宋简体"/>
          <w:sz w:val="44"/>
          <w:szCs w:val="44"/>
        </w:rPr>
      </w:pPr>
    </w:p>
    <w:p>
      <w:pPr>
        <w:pStyle w:val="9"/>
        <w:spacing w:line="579" w:lineRule="exact"/>
        <w:rPr>
          <w:rFonts w:ascii="仿宋_GB2312" w:eastAsia="仿宋_GB2312"/>
          <w:sz w:val="32"/>
          <w:szCs w:val="32"/>
        </w:rPr>
      </w:pPr>
      <w:r>
        <w:rPr>
          <w:rFonts w:hint="eastAsia" w:ascii="仿宋_GB2312" w:hAnsi="仿宋_GB2312" w:eastAsia="仿宋_GB2312" w:cs="仿宋_GB2312"/>
          <w:color w:val="000000"/>
          <w:sz w:val="32"/>
          <w:szCs w:val="32"/>
        </w:rPr>
        <w:t>尊敬的杜夏雨委员：</w:t>
      </w:r>
    </w:p>
    <w:p>
      <w:pPr>
        <w:autoSpaceDE w:val="0"/>
        <w:autoSpaceDN w:val="0"/>
        <w:adjustRightIn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您提出的第2024152号提案《进一步开放拓展共享公园绿地，增进市民的绿色“幸福空间”》已收悉。</w:t>
      </w:r>
      <w:r>
        <w:rPr>
          <w:rFonts w:hint="eastAsia" w:ascii="仿宋_GB2312" w:hAnsi="Calibri" w:eastAsia="仿宋_GB2312"/>
          <w:sz w:val="32"/>
          <w:szCs w:val="32"/>
        </w:rPr>
        <w:t>感谢您对城市管理工作的支持和关心，经认真研究，现将办理意见回复如下：</w:t>
      </w:r>
    </w:p>
    <w:p>
      <w:pPr>
        <w:spacing w:line="579" w:lineRule="exact"/>
        <w:ind w:firstLine="640" w:firstLineChars="200"/>
        <w:outlineLvl w:val="0"/>
        <w:rPr>
          <w:rFonts w:hint="eastAsia" w:ascii="仿宋_GB2312" w:hAnsi="仿宋_GB2312" w:eastAsia="仿宋_GB2312" w:cs="仿宋_GB2312"/>
          <w:sz w:val="32"/>
          <w:szCs w:val="32"/>
        </w:rPr>
      </w:pPr>
      <w:r>
        <w:rPr>
          <w:rFonts w:hint="eastAsia" w:ascii="黑体" w:hAnsi="黑体" w:eastAsia="黑体" w:cs="黑体"/>
          <w:color w:val="000000"/>
          <w:sz w:val="32"/>
          <w:szCs w:val="32"/>
        </w:rPr>
        <w:t>一、基本情况</w:t>
      </w:r>
    </w:p>
    <w:p>
      <w:pPr>
        <w:spacing w:line="579"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二十届三中全会提出，要深化城市建设、运营、治理体制改革，加快转变城市发展方式。公园作为城市运营的重要空间，是美化城市环境、满足市民高品质生活需求的载体支撑，承载着居民美好生活的重要向往，更是城市综合竞争力和可持续发展能力的重要体现。2024年以来，随着原市属公园管理权移交我区，目前区属公园数量已达7座，其</w:t>
      </w:r>
      <w:bookmarkStart w:id="0" w:name="_GoBack"/>
      <w:bookmarkEnd w:id="0"/>
      <w:r>
        <w:rPr>
          <w:rFonts w:hint="eastAsia" w:ascii="仿宋_GB2312" w:hAnsi="仿宋_GB2312" w:eastAsia="仿宋_GB2312" w:cs="仿宋_GB2312"/>
          <w:sz w:val="32"/>
          <w:szCs w:val="32"/>
        </w:rPr>
        <w:t>中红树林生态公园为区水务局管理，香蜜公园、梅林公园、儿童乐园、彩田公园、皇岗公园、中心公园为我局管理。我局充分发挥公园作为城市公共空间的功能作用，按照《关于促进公园消费体验的实施方案》《深圳公园综合配套服务导则》等要求，深入挖掘公园绿地的生态价值、美学价值、人文价值、经济价值和生活价值，围绕居民需求打造公园绿地开放新场景，加快发展公园新经济。</w:t>
      </w:r>
    </w:p>
    <w:p>
      <w:pPr>
        <w:spacing w:line="579" w:lineRule="exact"/>
        <w:ind w:firstLine="640" w:firstLineChars="200"/>
        <w:outlineLvl w:val="0"/>
        <w:rPr>
          <w:rFonts w:hint="eastAsia" w:ascii="黑体" w:hAnsi="黑体" w:eastAsia="黑体" w:cs="黑体"/>
          <w:color w:val="000000"/>
          <w:sz w:val="32"/>
          <w:szCs w:val="32"/>
        </w:rPr>
      </w:pPr>
      <w:r>
        <w:rPr>
          <w:rFonts w:hint="eastAsia" w:ascii="黑体" w:hAnsi="黑体" w:eastAsia="黑体" w:cs="黑体"/>
          <w:color w:val="000000"/>
          <w:sz w:val="32"/>
          <w:szCs w:val="32"/>
        </w:rPr>
        <w:t>二、工作进展</w:t>
      </w:r>
    </w:p>
    <w:p>
      <w:pPr>
        <w:pStyle w:val="10"/>
        <w:spacing w:line="579" w:lineRule="exact"/>
        <w:ind w:firstLine="640" w:firstLineChars="200"/>
        <w:rPr>
          <w:rFonts w:hint="eastAsia" w:hAnsi="仿宋_GB2312" w:cs="仿宋_GB2312"/>
          <w:color w:val="000000"/>
          <w:lang w:val="zh-CN"/>
        </w:rPr>
      </w:pPr>
      <w:r>
        <w:rPr>
          <w:rFonts w:hint="eastAsia" w:hAnsi="仿宋_GB2312" w:cs="仿宋_GB2312"/>
          <w:color w:val="000000"/>
          <w:lang w:val="zh-CN"/>
        </w:rPr>
        <w:t>根据《关于促进公园消费体验的实施方案》《深圳公园综合配套服务导则》等相关要求，围绕轻餐咖啡、亲子娱乐、运动休闲等领域，我局通过存量建筑活化利用和绿地空间共享等方式，先后引入了自动售卖饮料机、711餐车、露营商圈、气模、美团无人机等各类消费配套业态。围绕“吃住行娱购”等内容先后打造“食遇公园”“文润公园”“乐享公园”等绿地开放共享新场景。香蜜公园园外和哈圃两家咖啡店业已成为小红书、抖音热门打卡地，中心公园充气式儿童游乐城堡备受亲子家庭喜爱，公园文化季、光影艺术季、新春艺术季等代表活动轮番在香蜜公园、中心公园策划举办。目前，我局根据全区“商业零售进公园”改革工作部署，正加快编制《福田区“公园+商业”共融运营管理办法（征求意见稿）》（以下简称《管理办法》），该管理办法是全市首个明确公园消费配套服务全流程内容的规范性文件，将充分发挥先行示范作用，助力打造公园消费配套服务规范发展“福田样板”。</w:t>
      </w:r>
    </w:p>
    <w:p>
      <w:pPr>
        <w:spacing w:line="579" w:lineRule="exact"/>
        <w:ind w:firstLine="640" w:firstLineChars="200"/>
        <w:outlineLvl w:val="0"/>
        <w:rPr>
          <w:rFonts w:hint="eastAsia" w:ascii="黑体" w:hAnsi="黑体" w:eastAsia="黑体" w:cs="黑体"/>
          <w:color w:val="000000"/>
          <w:sz w:val="32"/>
          <w:szCs w:val="32"/>
        </w:rPr>
      </w:pPr>
      <w:r>
        <w:rPr>
          <w:rFonts w:hint="eastAsia" w:ascii="黑体" w:hAnsi="黑体" w:eastAsia="黑体" w:cs="黑体"/>
          <w:color w:val="000000"/>
          <w:sz w:val="32"/>
          <w:szCs w:val="32"/>
        </w:rPr>
        <w:t>三、下一步工作计划</w:t>
      </w:r>
    </w:p>
    <w:p>
      <w:pPr>
        <w:pStyle w:val="10"/>
        <w:spacing w:line="579" w:lineRule="exact"/>
        <w:ind w:firstLine="640" w:firstLineChars="200"/>
        <w:outlineLvl w:val="1"/>
        <w:rPr>
          <w:rFonts w:hAnsi="仿宋_GB2312" w:cs="仿宋_GB2312"/>
          <w:color w:val="000000"/>
          <w:lang w:val="zh-CN"/>
        </w:rPr>
      </w:pPr>
      <w:r>
        <w:rPr>
          <w:rFonts w:hint="eastAsia" w:ascii="楷体_GB2312" w:hAnsi="仿宋_GB2312" w:eastAsia="楷体_GB2312" w:cs="仿宋_GB2312"/>
          <w:color w:val="000000"/>
          <w:lang w:val="zh-CN"/>
        </w:rPr>
        <w:t>（一）加快公园空间活化利用。</w:t>
      </w:r>
      <w:r>
        <w:rPr>
          <w:rFonts w:hint="eastAsia" w:hAnsi="仿宋_GB2312" w:cs="仿宋_GB2312"/>
          <w:color w:val="000000"/>
          <w:lang w:val="zh-CN"/>
        </w:rPr>
        <w:t>针对提案“建议1”内容，《管理办法》提出鼓励利用公园存量建筑、绿地空间、公园广场开展消费配套服务经营。下一步，我局将围绕市民对公园消费服务的新需求，围绕生活休闲、运动健身、科普教育、文化艺术、数字经济等新业态，引进更多优质项目。</w:t>
      </w:r>
    </w:p>
    <w:p>
      <w:pPr>
        <w:pStyle w:val="10"/>
        <w:spacing w:line="579" w:lineRule="exact"/>
        <w:ind w:firstLine="640" w:firstLineChars="200"/>
        <w:outlineLvl w:val="1"/>
        <w:rPr>
          <w:rFonts w:hint="eastAsia" w:hAnsi="仿宋_GB2312" w:cs="仿宋_GB2312"/>
          <w:color w:val="000000"/>
          <w:lang w:val="zh-CN"/>
        </w:rPr>
      </w:pPr>
      <w:r>
        <w:rPr>
          <w:rFonts w:hint="eastAsia" w:ascii="楷体_GB2312" w:hAnsi="仿宋_GB2312" w:eastAsia="楷体_GB2312" w:cs="仿宋_GB2312"/>
          <w:color w:val="000000"/>
          <w:lang w:val="zh-CN"/>
        </w:rPr>
        <w:t>（二）打造公园绿地共享场景。</w:t>
      </w:r>
      <w:r>
        <w:rPr>
          <w:rFonts w:hint="eastAsia" w:hAnsi="仿宋_GB2312" w:cs="仿宋_GB2312"/>
          <w:color w:val="000000"/>
          <w:lang w:val="zh-CN"/>
        </w:rPr>
        <w:t>针对提案“建议2”内容，我局在《管理办法》明确了文化、生活、体育、科技等经营业态，丰富公园消费配套服务场景。下一步，我局将依托公园内的固定建筑、绿地广场等空间资源，采取政府主导、市场参与模式，积极引导社会力量参与公园配套服务建设，积极营造多元化公园服务场景，提升公园公共服务水平。</w:t>
      </w:r>
    </w:p>
    <w:p>
      <w:pPr>
        <w:pStyle w:val="10"/>
        <w:spacing w:line="579" w:lineRule="exact"/>
        <w:ind w:firstLine="640" w:firstLineChars="200"/>
        <w:outlineLvl w:val="1"/>
        <w:rPr>
          <w:rFonts w:hAnsi="仿宋_GB2312" w:cs="仿宋_GB2312"/>
          <w:color w:val="000000"/>
          <w:lang w:val="zh-CN"/>
        </w:rPr>
      </w:pPr>
      <w:r>
        <w:rPr>
          <w:rFonts w:hint="eastAsia" w:ascii="楷体_GB2312" w:hAnsi="仿宋_GB2312" w:eastAsia="楷体_GB2312" w:cs="仿宋_GB2312"/>
          <w:color w:val="000000"/>
          <w:lang w:val="zh-CN"/>
        </w:rPr>
        <w:t>（三）明确配套服务供给方式。</w:t>
      </w:r>
      <w:r>
        <w:rPr>
          <w:rFonts w:hint="eastAsia" w:hAnsi="仿宋_GB2312" w:cs="仿宋_GB2312"/>
          <w:color w:val="000000"/>
          <w:lang w:val="zh-CN"/>
        </w:rPr>
        <w:t>针对提案“建议3”内容，在充分调研学习光明区以及国内城市先进经验的基础上，我局开展了城市公园的运营模式研究，未来福田区将在政府主导模式的基础上，开展公园“基础管养+综合运营”创新探索。下一步，我局将大力探索公园综合管养和运营服务模式，并进一步明确公开招租、活动配套引进等服务供给方式，鼓励和支持社会资本参与公园配套服务建设运营。</w:t>
      </w:r>
    </w:p>
    <w:p>
      <w:pPr>
        <w:pStyle w:val="10"/>
        <w:spacing w:line="579" w:lineRule="exact"/>
        <w:ind w:firstLine="640" w:firstLineChars="200"/>
        <w:outlineLvl w:val="1"/>
        <w:rPr>
          <w:rFonts w:hint="eastAsia" w:hAnsi="仿宋_GB2312" w:cs="仿宋_GB2312"/>
          <w:color w:val="000000"/>
          <w:lang w:val="zh-CN"/>
        </w:rPr>
      </w:pPr>
      <w:r>
        <w:rPr>
          <w:rFonts w:hint="eastAsia" w:ascii="楷体_GB2312" w:hAnsi="仿宋_GB2312" w:eastAsia="楷体_GB2312" w:cs="仿宋_GB2312"/>
          <w:color w:val="000000"/>
          <w:lang w:val="zh-CN"/>
        </w:rPr>
        <w:t>（四）探索建立联席会议平台。</w:t>
      </w:r>
      <w:r>
        <w:rPr>
          <w:rFonts w:hint="eastAsia" w:hAnsi="仿宋_GB2312" w:cs="仿宋_GB2312"/>
          <w:color w:val="000000"/>
          <w:lang w:val="zh-CN"/>
        </w:rPr>
        <w:t>针对提案“建议4”内容，我局在《管理办法》中提出建立“公园+商业”联席会议机制，由发改、财政、公安等部门多方参与，并邀请人大代表、政协委员、公益组织代表等组成专家服务团。未来可充分发挥“公园+商业”联席会议制度优势，推出一批公园文化菜单、公园艺术计划和公园生活节，让市民游客喜闻乐见的消费配套服务进入公园。</w:t>
      </w:r>
    </w:p>
    <w:p>
      <w:pPr>
        <w:pStyle w:val="10"/>
        <w:spacing w:line="579" w:lineRule="exact"/>
        <w:ind w:firstLine="640" w:firstLineChars="200"/>
        <w:outlineLvl w:val="1"/>
        <w:rPr>
          <w:rFonts w:hAnsi="仿宋_GB2312" w:cs="仿宋_GB2312"/>
          <w:color w:val="000000"/>
          <w:lang w:val="zh-CN"/>
        </w:rPr>
      </w:pPr>
      <w:r>
        <w:rPr>
          <w:rFonts w:hint="eastAsia" w:ascii="楷体_GB2312" w:hAnsi="仿宋_GB2312" w:eastAsia="楷体_GB2312" w:cs="仿宋_GB2312"/>
          <w:color w:val="000000"/>
          <w:lang w:val="zh-CN"/>
        </w:rPr>
        <w:t>（五）完善运营服务评价机制。</w:t>
      </w:r>
      <w:r>
        <w:rPr>
          <w:rFonts w:hint="eastAsia" w:hAnsi="仿宋_GB2312" w:cs="仿宋_GB2312"/>
          <w:color w:val="000000"/>
          <w:lang w:val="zh-CN"/>
        </w:rPr>
        <w:t>针对提案“建议5”内容，我局在《管理办法》中明确规定了严禁设立私人会所、高档餐馆、“园中园”、会员制等场所改变公共资源属性行为，严禁擅自改变或破坏公园建（构）筑物原有风貌和格局和严禁擅自新建、改建、扩建公园配套服务和场地等行为。并在《管理办法》明确了固定场所、移动设施、演艺活动和主题市集的4类服务标准，要求入场经营者具备合法的经营资质，加强对销售商品的质量安全监管。下一步，我局将进一步建立消费配套服务满意度评价机制，将市民满意度作为经营主体合同续签的重要依据，对存在假冒伪劣、以次充好、虚假宣传等违法经营行为的经营主体按照规定进行清退，全面保障消费者权益。</w:t>
      </w:r>
    </w:p>
    <w:p>
      <w:pPr>
        <w:pStyle w:val="10"/>
        <w:spacing w:line="579" w:lineRule="exact"/>
        <w:ind w:firstLine="0"/>
        <w:rPr>
          <w:rFonts w:hint="eastAsia" w:hAnsi="仿宋_GB2312" w:cs="仿宋_GB2312"/>
          <w:color w:val="000000"/>
          <w:lang w:val="zh-CN"/>
        </w:rPr>
      </w:pPr>
    </w:p>
    <w:p>
      <w:pPr>
        <w:pStyle w:val="10"/>
        <w:spacing w:line="579" w:lineRule="exact"/>
        <w:ind w:firstLine="0"/>
        <w:rPr>
          <w:rFonts w:hint="eastAsia" w:hAnsi="仿宋_GB2312" w:cs="仿宋_GB2312"/>
          <w:color w:val="000000"/>
          <w:lang w:val="zh-CN"/>
        </w:rPr>
      </w:pPr>
    </w:p>
    <w:p>
      <w:pPr>
        <w:spacing w:line="579" w:lineRule="exact"/>
        <w:ind w:right="32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福田区城市管理和综合执法局</w:t>
      </w:r>
    </w:p>
    <w:p>
      <w:pPr>
        <w:spacing w:line="579" w:lineRule="exact"/>
        <w:ind w:right="96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2024年9月13日</w:t>
      </w:r>
    </w:p>
    <w:p>
      <w:pPr>
        <w:spacing w:line="579" w:lineRule="exact"/>
        <w:rPr>
          <w:rFonts w:hint="eastAsia" w:ascii="仿宋_GB2312" w:hAnsi="仿宋_GB2312" w:eastAsia="仿宋_GB2312" w:cs="仿宋_GB2312"/>
          <w:sz w:val="32"/>
          <w:szCs w:val="32"/>
        </w:rPr>
      </w:pPr>
    </w:p>
    <w:p>
      <w:pPr>
        <w:spacing w:line="579" w:lineRule="exact"/>
        <w:ind w:firstLine="960" w:firstLineChars="300"/>
      </w:pPr>
      <w:r>
        <w:rPr>
          <w:rFonts w:hint="eastAsia" w:ascii="仿宋_GB2312" w:hAnsi="仿宋_GB2312" w:eastAsia="仿宋_GB2312" w:cs="仿宋_GB2312"/>
          <w:sz w:val="32"/>
          <w:szCs w:val="32"/>
        </w:rPr>
        <w:t>（联系人：张之浩，联系电话：83158399）</w:t>
      </w:r>
    </w:p>
    <w:sectPr>
      <w:footerReference r:id="rId3" w:type="default"/>
      <w:footerReference r:id="rId4" w:type="even"/>
      <w:pgSz w:w="11906" w:h="16838"/>
      <w:pgMar w:top="2098" w:right="1588" w:bottom="1985" w:left="1588" w:header="851" w:footer="158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420" w:leftChars="200"/>
      <w:rPr>
        <w:rStyle w:val="8"/>
        <w:rFonts w:hint="eastAsia" w:ascii="宋体" w:hAnsi="宋体"/>
        <w:sz w:val="28"/>
        <w:szCs w:val="28"/>
      </w:rPr>
    </w:pPr>
    <w:r>
      <w:rPr>
        <w:rStyle w:val="8"/>
        <w:rFonts w:hint="eastAsia" w:ascii="宋体" w:hAnsi="宋体"/>
        <w:sz w:val="28"/>
        <w:szCs w:val="28"/>
      </w:rPr>
      <w:t xml:space="preserve">― </w:t>
    </w: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2</w:t>
    </w:r>
    <w:r>
      <w:rPr>
        <w:rFonts w:ascii="宋体" w:hAnsi="宋体"/>
        <w:sz w:val="28"/>
        <w:szCs w:val="28"/>
      </w:rPr>
      <w:fldChar w:fldCharType="end"/>
    </w:r>
    <w:r>
      <w:rPr>
        <w:rStyle w:val="8"/>
        <w:rFonts w:hint="eastAsia" w:ascii="宋体" w:hAnsi="宋体"/>
        <w:sz w:val="28"/>
        <w:szCs w:val="28"/>
      </w:rPr>
      <w:t xml:space="preserve"> ― </w:t>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wNmNhYTUwOWU5OWM4NjM2MDE4MmRjM2E4YzY4NGIifQ=="/>
  </w:docVars>
  <w:rsids>
    <w:rsidRoot w:val="00D23708"/>
    <w:rsid w:val="00001FFD"/>
    <w:rsid w:val="00003111"/>
    <w:rsid w:val="00010AAF"/>
    <w:rsid w:val="000628A5"/>
    <w:rsid w:val="00075F77"/>
    <w:rsid w:val="00087EC2"/>
    <w:rsid w:val="0009720A"/>
    <w:rsid w:val="000A2BDF"/>
    <w:rsid w:val="000A5A00"/>
    <w:rsid w:val="000B03B5"/>
    <w:rsid w:val="000B2731"/>
    <w:rsid w:val="000B273F"/>
    <w:rsid w:val="000B4966"/>
    <w:rsid w:val="000C0644"/>
    <w:rsid w:val="000C3107"/>
    <w:rsid w:val="000C3C4E"/>
    <w:rsid w:val="000D1A9D"/>
    <w:rsid w:val="000E640D"/>
    <w:rsid w:val="000E6B49"/>
    <w:rsid w:val="000F5627"/>
    <w:rsid w:val="000F651F"/>
    <w:rsid w:val="00100232"/>
    <w:rsid w:val="00111BE1"/>
    <w:rsid w:val="0012596B"/>
    <w:rsid w:val="001325EE"/>
    <w:rsid w:val="001525EF"/>
    <w:rsid w:val="0017558B"/>
    <w:rsid w:val="00175B3D"/>
    <w:rsid w:val="001815A0"/>
    <w:rsid w:val="00186044"/>
    <w:rsid w:val="00187F06"/>
    <w:rsid w:val="001A57A9"/>
    <w:rsid w:val="001B2C6F"/>
    <w:rsid w:val="001B6D12"/>
    <w:rsid w:val="001C29E0"/>
    <w:rsid w:val="001C6753"/>
    <w:rsid w:val="001C7246"/>
    <w:rsid w:val="001D0325"/>
    <w:rsid w:val="001D4692"/>
    <w:rsid w:val="001E51D8"/>
    <w:rsid w:val="0020280B"/>
    <w:rsid w:val="00213B66"/>
    <w:rsid w:val="0023163C"/>
    <w:rsid w:val="00235A9F"/>
    <w:rsid w:val="00250C9B"/>
    <w:rsid w:val="00266919"/>
    <w:rsid w:val="00271EFF"/>
    <w:rsid w:val="00272625"/>
    <w:rsid w:val="00275AA8"/>
    <w:rsid w:val="002824AD"/>
    <w:rsid w:val="0029440D"/>
    <w:rsid w:val="00297999"/>
    <w:rsid w:val="002A5170"/>
    <w:rsid w:val="002A5FED"/>
    <w:rsid w:val="002B3049"/>
    <w:rsid w:val="002B5E12"/>
    <w:rsid w:val="002E43E6"/>
    <w:rsid w:val="002E53DD"/>
    <w:rsid w:val="002E6198"/>
    <w:rsid w:val="00310AD3"/>
    <w:rsid w:val="003133F6"/>
    <w:rsid w:val="0031714C"/>
    <w:rsid w:val="0032013D"/>
    <w:rsid w:val="00325852"/>
    <w:rsid w:val="003264DC"/>
    <w:rsid w:val="003267A6"/>
    <w:rsid w:val="0034317F"/>
    <w:rsid w:val="00347EC8"/>
    <w:rsid w:val="0036054D"/>
    <w:rsid w:val="00363A0E"/>
    <w:rsid w:val="00367F49"/>
    <w:rsid w:val="00377429"/>
    <w:rsid w:val="00385968"/>
    <w:rsid w:val="00391E79"/>
    <w:rsid w:val="0039682C"/>
    <w:rsid w:val="003A3C6F"/>
    <w:rsid w:val="003A71AF"/>
    <w:rsid w:val="003B22A5"/>
    <w:rsid w:val="003B50C3"/>
    <w:rsid w:val="003B6D62"/>
    <w:rsid w:val="003D12C5"/>
    <w:rsid w:val="003D5EF8"/>
    <w:rsid w:val="003D5F8D"/>
    <w:rsid w:val="003E3CF3"/>
    <w:rsid w:val="00413816"/>
    <w:rsid w:val="00416D8F"/>
    <w:rsid w:val="0042033B"/>
    <w:rsid w:val="00434CCF"/>
    <w:rsid w:val="0043531A"/>
    <w:rsid w:val="00444A75"/>
    <w:rsid w:val="00445464"/>
    <w:rsid w:val="004520AD"/>
    <w:rsid w:val="00456BCB"/>
    <w:rsid w:val="00471029"/>
    <w:rsid w:val="00472978"/>
    <w:rsid w:val="00473442"/>
    <w:rsid w:val="0047641C"/>
    <w:rsid w:val="0048263C"/>
    <w:rsid w:val="004A54FA"/>
    <w:rsid w:val="004A7F0B"/>
    <w:rsid w:val="004B0B63"/>
    <w:rsid w:val="004B1DC7"/>
    <w:rsid w:val="004B269D"/>
    <w:rsid w:val="004B6AA4"/>
    <w:rsid w:val="004D330C"/>
    <w:rsid w:val="004E6CBD"/>
    <w:rsid w:val="00527D60"/>
    <w:rsid w:val="005449A5"/>
    <w:rsid w:val="00560B4D"/>
    <w:rsid w:val="005639D2"/>
    <w:rsid w:val="00565E57"/>
    <w:rsid w:val="00572989"/>
    <w:rsid w:val="005801CE"/>
    <w:rsid w:val="00580558"/>
    <w:rsid w:val="00587237"/>
    <w:rsid w:val="005B7E60"/>
    <w:rsid w:val="005C11E1"/>
    <w:rsid w:val="005C4D2C"/>
    <w:rsid w:val="005D09BC"/>
    <w:rsid w:val="005D6388"/>
    <w:rsid w:val="005E5137"/>
    <w:rsid w:val="005F02F0"/>
    <w:rsid w:val="005F1086"/>
    <w:rsid w:val="00600E10"/>
    <w:rsid w:val="00603F43"/>
    <w:rsid w:val="00607B7A"/>
    <w:rsid w:val="00607D56"/>
    <w:rsid w:val="006106C1"/>
    <w:rsid w:val="00616736"/>
    <w:rsid w:val="006419A6"/>
    <w:rsid w:val="00647449"/>
    <w:rsid w:val="006515F3"/>
    <w:rsid w:val="0066634E"/>
    <w:rsid w:val="00676D22"/>
    <w:rsid w:val="006779C2"/>
    <w:rsid w:val="00686B8C"/>
    <w:rsid w:val="00687517"/>
    <w:rsid w:val="006A5D15"/>
    <w:rsid w:val="006D7485"/>
    <w:rsid w:val="006F4D3B"/>
    <w:rsid w:val="006F54FC"/>
    <w:rsid w:val="00714234"/>
    <w:rsid w:val="0071435B"/>
    <w:rsid w:val="00715C02"/>
    <w:rsid w:val="0071639D"/>
    <w:rsid w:val="00717BAE"/>
    <w:rsid w:val="00721C94"/>
    <w:rsid w:val="00744AF3"/>
    <w:rsid w:val="00746D92"/>
    <w:rsid w:val="007549BE"/>
    <w:rsid w:val="00761862"/>
    <w:rsid w:val="00766BBD"/>
    <w:rsid w:val="007702A4"/>
    <w:rsid w:val="007754B5"/>
    <w:rsid w:val="007766A7"/>
    <w:rsid w:val="007C4CEA"/>
    <w:rsid w:val="007E2DFD"/>
    <w:rsid w:val="007E5747"/>
    <w:rsid w:val="007F119E"/>
    <w:rsid w:val="0081030D"/>
    <w:rsid w:val="00822674"/>
    <w:rsid w:val="00827CEC"/>
    <w:rsid w:val="00830176"/>
    <w:rsid w:val="0085609A"/>
    <w:rsid w:val="00857918"/>
    <w:rsid w:val="008622F9"/>
    <w:rsid w:val="008701E5"/>
    <w:rsid w:val="0087252A"/>
    <w:rsid w:val="00893B1D"/>
    <w:rsid w:val="00895EFC"/>
    <w:rsid w:val="008A349D"/>
    <w:rsid w:val="008A4AAD"/>
    <w:rsid w:val="008C0B10"/>
    <w:rsid w:val="008E1C56"/>
    <w:rsid w:val="008E48E7"/>
    <w:rsid w:val="008E76FF"/>
    <w:rsid w:val="00903EF6"/>
    <w:rsid w:val="00904BA7"/>
    <w:rsid w:val="00914FBB"/>
    <w:rsid w:val="009179D4"/>
    <w:rsid w:val="00925EB7"/>
    <w:rsid w:val="00933E2C"/>
    <w:rsid w:val="00954494"/>
    <w:rsid w:val="009566F6"/>
    <w:rsid w:val="009618EC"/>
    <w:rsid w:val="009671F8"/>
    <w:rsid w:val="0097058C"/>
    <w:rsid w:val="00982829"/>
    <w:rsid w:val="009840AE"/>
    <w:rsid w:val="00985F17"/>
    <w:rsid w:val="009A27B3"/>
    <w:rsid w:val="009A3D71"/>
    <w:rsid w:val="009C088F"/>
    <w:rsid w:val="009C2048"/>
    <w:rsid w:val="009C26C6"/>
    <w:rsid w:val="009C3411"/>
    <w:rsid w:val="009D1995"/>
    <w:rsid w:val="009E688C"/>
    <w:rsid w:val="00A008C3"/>
    <w:rsid w:val="00A0132D"/>
    <w:rsid w:val="00A04009"/>
    <w:rsid w:val="00A16A69"/>
    <w:rsid w:val="00A2064A"/>
    <w:rsid w:val="00A330DC"/>
    <w:rsid w:val="00A4152A"/>
    <w:rsid w:val="00A47B3D"/>
    <w:rsid w:val="00A47DEA"/>
    <w:rsid w:val="00A53953"/>
    <w:rsid w:val="00A66285"/>
    <w:rsid w:val="00A66CF9"/>
    <w:rsid w:val="00A810CD"/>
    <w:rsid w:val="00A8654B"/>
    <w:rsid w:val="00A9217E"/>
    <w:rsid w:val="00AA149F"/>
    <w:rsid w:val="00AB2CD2"/>
    <w:rsid w:val="00AD1486"/>
    <w:rsid w:val="00AD3E4D"/>
    <w:rsid w:val="00AF42F3"/>
    <w:rsid w:val="00B01ABE"/>
    <w:rsid w:val="00B0360D"/>
    <w:rsid w:val="00B15011"/>
    <w:rsid w:val="00B31665"/>
    <w:rsid w:val="00B34866"/>
    <w:rsid w:val="00B47E40"/>
    <w:rsid w:val="00B5039C"/>
    <w:rsid w:val="00B52F1C"/>
    <w:rsid w:val="00B63ABE"/>
    <w:rsid w:val="00B76B3B"/>
    <w:rsid w:val="00B85E00"/>
    <w:rsid w:val="00B87C3D"/>
    <w:rsid w:val="00B9138F"/>
    <w:rsid w:val="00B916E1"/>
    <w:rsid w:val="00B97164"/>
    <w:rsid w:val="00BA375E"/>
    <w:rsid w:val="00BA381F"/>
    <w:rsid w:val="00BA3935"/>
    <w:rsid w:val="00BB057E"/>
    <w:rsid w:val="00BB23B9"/>
    <w:rsid w:val="00BB5322"/>
    <w:rsid w:val="00BD00C3"/>
    <w:rsid w:val="00BE711C"/>
    <w:rsid w:val="00BF1F7E"/>
    <w:rsid w:val="00BF2E41"/>
    <w:rsid w:val="00BF5026"/>
    <w:rsid w:val="00BF7C57"/>
    <w:rsid w:val="00C05570"/>
    <w:rsid w:val="00C06E20"/>
    <w:rsid w:val="00C17EFF"/>
    <w:rsid w:val="00C207A1"/>
    <w:rsid w:val="00C2455F"/>
    <w:rsid w:val="00C323A7"/>
    <w:rsid w:val="00C40412"/>
    <w:rsid w:val="00C50B5D"/>
    <w:rsid w:val="00C52AF0"/>
    <w:rsid w:val="00C57FC1"/>
    <w:rsid w:val="00C65935"/>
    <w:rsid w:val="00C85840"/>
    <w:rsid w:val="00CC1471"/>
    <w:rsid w:val="00CF0A73"/>
    <w:rsid w:val="00D0278A"/>
    <w:rsid w:val="00D17612"/>
    <w:rsid w:val="00D23708"/>
    <w:rsid w:val="00D25BDB"/>
    <w:rsid w:val="00D264E7"/>
    <w:rsid w:val="00D36849"/>
    <w:rsid w:val="00D45BA8"/>
    <w:rsid w:val="00D46677"/>
    <w:rsid w:val="00D57688"/>
    <w:rsid w:val="00D60379"/>
    <w:rsid w:val="00D621B1"/>
    <w:rsid w:val="00D70809"/>
    <w:rsid w:val="00D82E4B"/>
    <w:rsid w:val="00DA15E3"/>
    <w:rsid w:val="00DA1B98"/>
    <w:rsid w:val="00DF0B5F"/>
    <w:rsid w:val="00DF4EFE"/>
    <w:rsid w:val="00DF50DD"/>
    <w:rsid w:val="00E02F1C"/>
    <w:rsid w:val="00E1550E"/>
    <w:rsid w:val="00E16F72"/>
    <w:rsid w:val="00E276F5"/>
    <w:rsid w:val="00E34907"/>
    <w:rsid w:val="00E430E0"/>
    <w:rsid w:val="00E448C5"/>
    <w:rsid w:val="00E45DAC"/>
    <w:rsid w:val="00E668A8"/>
    <w:rsid w:val="00E7468B"/>
    <w:rsid w:val="00E8152A"/>
    <w:rsid w:val="00E85ECE"/>
    <w:rsid w:val="00E9605E"/>
    <w:rsid w:val="00E97182"/>
    <w:rsid w:val="00EB4219"/>
    <w:rsid w:val="00ED2EB9"/>
    <w:rsid w:val="00EE7922"/>
    <w:rsid w:val="00EF26AA"/>
    <w:rsid w:val="00F00C27"/>
    <w:rsid w:val="00F01249"/>
    <w:rsid w:val="00F0127B"/>
    <w:rsid w:val="00F076AE"/>
    <w:rsid w:val="00F236E4"/>
    <w:rsid w:val="00F25EF0"/>
    <w:rsid w:val="00F4043B"/>
    <w:rsid w:val="00F4053A"/>
    <w:rsid w:val="00F45654"/>
    <w:rsid w:val="00F53219"/>
    <w:rsid w:val="00F53C41"/>
    <w:rsid w:val="00F57BE5"/>
    <w:rsid w:val="00F6456A"/>
    <w:rsid w:val="00F71600"/>
    <w:rsid w:val="00F81E58"/>
    <w:rsid w:val="00F84AC7"/>
    <w:rsid w:val="00F8523D"/>
    <w:rsid w:val="00F919E2"/>
    <w:rsid w:val="00F91E5B"/>
    <w:rsid w:val="00FA465F"/>
    <w:rsid w:val="00FB69FD"/>
    <w:rsid w:val="00FD7508"/>
    <w:rsid w:val="00FE0654"/>
    <w:rsid w:val="00FE4031"/>
    <w:rsid w:val="021756BC"/>
    <w:rsid w:val="09BA27AD"/>
    <w:rsid w:val="0E0457C8"/>
    <w:rsid w:val="0FEA2F41"/>
    <w:rsid w:val="141D4E78"/>
    <w:rsid w:val="1C7D677F"/>
    <w:rsid w:val="1F1E11E0"/>
    <w:rsid w:val="1F4C4892"/>
    <w:rsid w:val="22221159"/>
    <w:rsid w:val="35576F16"/>
    <w:rsid w:val="39026B01"/>
    <w:rsid w:val="3A8213D8"/>
    <w:rsid w:val="3E2C64D5"/>
    <w:rsid w:val="5309246A"/>
    <w:rsid w:val="54B538D2"/>
    <w:rsid w:val="589915B0"/>
    <w:rsid w:val="5E26749B"/>
    <w:rsid w:val="641A0055"/>
    <w:rsid w:val="65745DB5"/>
    <w:rsid w:val="66DF12EB"/>
    <w:rsid w:val="6ACC43D1"/>
    <w:rsid w:val="78A97889"/>
    <w:rsid w:val="7BF54E50"/>
    <w:rsid w:val="7CF20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line="579" w:lineRule="exact"/>
      <w:outlineLvl w:val="1"/>
    </w:pPr>
    <w:rPr>
      <w:rFonts w:ascii="Arial" w:hAnsi="Arial" w:eastAsia="黑体"/>
      <w:b/>
      <w:sz w:val="32"/>
      <w:szCs w:val="2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next w:val="1"/>
    <w:unhideWhenUsed/>
    <w:qFormat/>
    <w:uiPriority w:val="99"/>
    <w:pPr>
      <w:widowControl w:val="0"/>
      <w:jc w:val="center"/>
    </w:pPr>
    <w:rPr>
      <w:rFonts w:ascii="宋体" w:hAnsi="Times New Roman" w:eastAsia="宋体" w:cs="Times New Roman"/>
      <w:kern w:val="2"/>
      <w:sz w:val="44"/>
      <w:szCs w:val="24"/>
      <w:lang w:val="en-US" w:eastAsia="zh-CN" w:bidi="ar-SA"/>
    </w:rPr>
  </w:style>
  <w:style w:type="paragraph" w:styleId="4">
    <w:name w:val="footer"/>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5">
    <w:name w:val="header"/>
    <w:qFormat/>
    <w:uiPriority w:val="0"/>
    <w:pPr>
      <w:widowControl w:val="0"/>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character" w:styleId="8">
    <w:name w:val="page number"/>
    <w:qFormat/>
    <w:uiPriority w:val="0"/>
  </w:style>
  <w:style w:type="paragraph" w:customStyle="1" w:styleId="9">
    <w:name w:val="p0"/>
    <w:qFormat/>
    <w:uiPriority w:val="0"/>
    <w:pPr>
      <w:jc w:val="both"/>
    </w:pPr>
    <w:rPr>
      <w:rFonts w:ascii="Times New Roman" w:hAnsi="Times New Roman" w:eastAsia="宋体" w:cs="Times New Roman"/>
      <w:sz w:val="21"/>
      <w:szCs w:val="21"/>
      <w:lang w:val="en-US" w:eastAsia="zh-CN" w:bidi="ar-SA"/>
    </w:rPr>
  </w:style>
  <w:style w:type="paragraph" w:customStyle="1" w:styleId="10">
    <w:name w:val="p17"/>
    <w:qFormat/>
    <w:uiPriority w:val="0"/>
    <w:pPr>
      <w:ind w:firstLine="630"/>
      <w:jc w:val="both"/>
    </w:pPr>
    <w:rPr>
      <w:rFonts w:ascii="仿宋_GB2312" w:hAnsi="宋体" w:eastAsia="仿宋_GB2312" w:cs="宋体"/>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295</Words>
  <Characters>1685</Characters>
  <Lines>14</Lines>
  <Paragraphs>3</Paragraphs>
  <TotalTime>2</TotalTime>
  <ScaleCrop>false</ScaleCrop>
  <LinksUpToDate>false</LinksUpToDate>
  <CharactersWithSpaces>1977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2022-10-12T01:48:00Z</dcterms:created>
  <dc:creator>Administrator</dc:creator>
  <cp:lastModifiedBy>张之浩</cp:lastModifiedBy>
  <cp:lastPrinted>2024-03-21T09:15:00Z</cp:lastPrinted>
  <dcterms:modified xsi:type="dcterms:W3CDTF">2024-09-14T00:49:07Z</dcterms:modified>
  <cp:revision>442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41F0093918804572B20FDD131B3FEAEC</vt:lpwstr>
  </property>
</Properties>
</file>