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color w:val="FF0000"/>
          <w:spacing w:val="-50"/>
          <w:sz w:val="64"/>
          <w:szCs w:val="64"/>
        </w:rPr>
      </w:pPr>
      <w:bookmarkStart w:id="0" w:name="_GoBack"/>
      <w:bookmarkEnd w:id="0"/>
      <w:r>
        <w:rPr>
          <w:rFonts w:hint="eastAsia" w:ascii="宋体" w:hAnsi="宋体" w:cs="宋体"/>
          <w:b/>
          <w:color w:val="FF0000"/>
          <w:spacing w:val="-50"/>
          <w:sz w:val="64"/>
          <w:szCs w:val="64"/>
        </w:rPr>
        <w:t>深圳市福田区城市管理和综合执法局</w:t>
      </w:r>
    </w:p>
    <w:p>
      <w:pPr>
        <w:rPr>
          <w:rFonts w:eastAsia="仿宋_GB2312"/>
          <w:sz w:val="44"/>
          <w:szCs w:val="44"/>
        </w:rPr>
      </w:pPr>
      <w:r>
        <w:rPr>
          <w:szCs w:val="21"/>
        </w:rPr>
        <mc:AlternateContent>
          <mc:Choice Requires="wps">
            <w:drawing>
              <wp:anchor distT="0" distB="0" distL="114300" distR="114300" simplePos="0" relativeHeight="251660288" behindDoc="0" locked="0" layoutInCell="1" allowOverlap="1">
                <wp:simplePos x="0" y="0"/>
                <wp:positionH relativeFrom="column">
                  <wp:posOffset>-212090</wp:posOffset>
                </wp:positionH>
                <wp:positionV relativeFrom="paragraph">
                  <wp:posOffset>139065</wp:posOffset>
                </wp:positionV>
                <wp:extent cx="6134100" cy="63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6134100" cy="635"/>
                        </a:xfrm>
                        <a:prstGeom prst="straightConnector1">
                          <a:avLst/>
                        </a:prstGeom>
                        <a:ln w="3175" cap="flat" cmpd="sng">
                          <a:solidFill>
                            <a:srgbClr val="FF0000"/>
                          </a:solidFill>
                          <a:prstDash val="solid"/>
                          <a:headEnd type="none" w="med" len="med"/>
                          <a:tailEnd type="none" w="med" len="med"/>
                        </a:ln>
                        <a:effectLst/>
                      </wps:spPr>
                      <wps:bodyPr rot="0" vert="horz" wrap="square" lIns="91440" tIns="45720" rIns="91440" bIns="45720" anchor="t" anchorCtr="0"/>
                    </wps:wsp>
                  </a:graphicData>
                </a:graphic>
              </wp:anchor>
            </w:drawing>
          </mc:Choice>
          <mc:Fallback>
            <w:pict>
              <v:shape id="_x0000_s1026" o:spid="_x0000_s1026" o:spt="32" type="#_x0000_t32" style="position:absolute;left:0pt;margin-left:-16.7pt;margin-top:10.95pt;height:0.05pt;width:483pt;z-index:251660288;mso-width-relative:page;mso-height-relative:page;" filled="f" stroked="t" coordsize="21600,21600" o:gfxdata="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">
                <v:fill on="f" focussize="0,0"/>
                <v:stroke weight="0.25pt" color="#FF0000" joinstyle="round"/>
                <v:imagedata o:title=""/>
                <o:lock v:ext="edit" aspectratio="f"/>
              </v:shape>
            </w:pict>
          </mc:Fallback>
        </mc:AlternateContent>
      </w:r>
      <w:r>
        <w:rPr>
          <w:szCs w:val="21"/>
        </w:rPr>
        <mc:AlternateContent>
          <mc:Choice Requires="wps">
            <w:drawing>
              <wp:anchor distT="0" distB="0" distL="114300" distR="114300" simplePos="0" relativeHeight="251659264" behindDoc="0" locked="0" layoutInCell="1" allowOverlap="1">
                <wp:simplePos x="0" y="0"/>
                <wp:positionH relativeFrom="column">
                  <wp:posOffset>-212090</wp:posOffset>
                </wp:positionH>
                <wp:positionV relativeFrom="paragraph">
                  <wp:posOffset>72390</wp:posOffset>
                </wp:positionV>
                <wp:extent cx="6134100" cy="635"/>
                <wp:effectExtent l="0" t="19050" r="0" b="37465"/>
                <wp:wrapNone/>
                <wp:docPr id="3" name="直接箭头连接符 3"/>
                <wp:cNvGraphicFramePr/>
                <a:graphic xmlns:a="http://schemas.openxmlformats.org/drawingml/2006/main">
                  <a:graphicData uri="http://schemas.microsoft.com/office/word/2010/wordprocessingShape">
                    <wps:wsp>
                      <wps:cNvCnPr/>
                      <wps:spPr>
                        <a:xfrm>
                          <a:off x="0" y="0"/>
                          <a:ext cx="6134100" cy="635"/>
                        </a:xfrm>
                        <a:prstGeom prst="straightConnector1">
                          <a:avLst/>
                        </a:prstGeom>
                        <a:ln w="38100" cap="flat" cmpd="sng">
                          <a:solidFill>
                            <a:srgbClr val="FF0000"/>
                          </a:solidFill>
                          <a:prstDash val="solid"/>
                          <a:headEnd type="none" w="med" len="med"/>
                          <a:tailEnd type="none" w="med" len="med"/>
                        </a:ln>
                        <a:effectLst/>
                      </wps:spPr>
                      <wps:bodyPr rot="0" vert="horz" wrap="square" lIns="91440" tIns="45720" rIns="91440" bIns="45720" anchor="t" anchorCtr="0"/>
                    </wps:wsp>
                  </a:graphicData>
                </a:graphic>
              </wp:anchor>
            </w:drawing>
          </mc:Choice>
          <mc:Fallback>
            <w:pict>
              <v:shape id="_x0000_s1026" o:spid="_x0000_s1026" o:spt="32" type="#_x0000_t32" style="position:absolute;left:0pt;margin-left:-16.7pt;margin-top:5.7pt;height:0.05pt;width:483pt;z-index:251659264;mso-width-relative:page;mso-height-relative:page;" filled="f" stroked="t" coordsize="21600,21600" o:gfxdata="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">
                <v:fill on="f" focussize="0,0"/>
                <v:stroke weight="3pt" color="#FF0000" joinstyle="round"/>
                <v:imagedata o:title=""/>
                <o:lock v:ext="edit" aspectratio="f"/>
              </v:shape>
            </w:pict>
          </mc:Fallback>
        </mc:AlternateContent>
      </w:r>
      <w:r>
        <w:rPr>
          <w:szCs w:val="21"/>
        </w:rPr>
        <mc:AlternateContent>
          <mc:Choice Requires="wps">
            <w:drawing>
              <wp:anchor distT="0" distB="0" distL="114300" distR="114300" simplePos="0" relativeHeight="251663360" behindDoc="0" locked="0" layoutInCell="1" allowOverlap="1">
                <wp:simplePos x="0" y="0"/>
                <wp:positionH relativeFrom="column">
                  <wp:posOffset>-212090</wp:posOffset>
                </wp:positionH>
                <wp:positionV relativeFrom="paragraph">
                  <wp:posOffset>8235315</wp:posOffset>
                </wp:positionV>
                <wp:extent cx="6134100" cy="0"/>
                <wp:effectExtent l="0" t="19050" r="0" b="19050"/>
                <wp:wrapNone/>
                <wp:docPr id="5" name="直接箭头连接符 5"/>
                <wp:cNvGraphicFramePr/>
                <a:graphic xmlns:a="http://schemas.openxmlformats.org/drawingml/2006/main">
                  <a:graphicData uri="http://schemas.microsoft.com/office/word/2010/wordprocessingShape">
                    <wps:wsp>
                      <wps:cNvCnPr/>
                      <wps:spPr>
                        <a:xfrm>
                          <a:off x="0" y="0"/>
                          <a:ext cx="6134100" cy="0"/>
                        </a:xfrm>
                        <a:prstGeom prst="straightConnector1">
                          <a:avLst/>
                        </a:prstGeom>
                        <a:ln w="38100" cap="flat" cmpd="sng">
                          <a:solidFill>
                            <a:srgbClr val="FF0000"/>
                          </a:solidFill>
                          <a:prstDash val="solid"/>
                          <a:headEnd type="none" w="med" len="med"/>
                          <a:tailEnd type="none" w="med" len="med"/>
                        </a:ln>
                        <a:effectLst/>
                      </wps:spPr>
                      <wps:bodyPr rot="0" vert="horz" wrap="square" lIns="91440" tIns="45720" rIns="91440" bIns="45720" anchor="t" anchorCtr="0"/>
                    </wps:wsp>
                  </a:graphicData>
                </a:graphic>
              </wp:anchor>
            </w:drawing>
          </mc:Choice>
          <mc:Fallback>
            <w:pict>
              <v:shape id="_x0000_s1026" o:spid="_x0000_s1026" o:spt="32" type="#_x0000_t32" style="position:absolute;left:0pt;margin-left:-16.7pt;margin-top:648.45pt;height:0pt;width:483pt;z-index:251663360;mso-width-relative:page;mso-height-relative:page;" filled="f" stroked="t" coordsize="21600,21600" o:gfxdata="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">
                <v:fill on="f" focussize="0,0"/>
                <v:stroke weight="3pt" color="#FF0000" joinstyle="round"/>
                <v:imagedata o:title=""/>
                <o:lock v:ext="edit" aspectratio="f"/>
              </v:shape>
            </w:pict>
          </mc:Fallback>
        </mc:AlternateContent>
      </w:r>
      <w:r>
        <w:rPr>
          <w:szCs w:val="21"/>
        </w:rPr>
        <mc:AlternateContent>
          <mc:Choice Requires="wps">
            <w:drawing>
              <wp:anchor distT="0" distB="0" distL="114300" distR="114300" simplePos="0" relativeHeight="251661312" behindDoc="0" locked="0" layoutInCell="1" allowOverlap="1">
                <wp:simplePos x="0" y="0"/>
                <wp:positionH relativeFrom="column">
                  <wp:posOffset>-212090</wp:posOffset>
                </wp:positionH>
                <wp:positionV relativeFrom="paragraph">
                  <wp:posOffset>8140065</wp:posOffset>
                </wp:positionV>
                <wp:extent cx="6134100" cy="635"/>
                <wp:effectExtent l="0" t="0" r="0" b="0"/>
                <wp:wrapNone/>
                <wp:docPr id="7" name="直接箭头连接符 7"/>
                <wp:cNvGraphicFramePr/>
                <a:graphic xmlns:a="http://schemas.openxmlformats.org/drawingml/2006/main">
                  <a:graphicData uri="http://schemas.microsoft.com/office/word/2010/wordprocessingShape">
                    <wps:wsp>
                      <wps:cNvCnPr/>
                      <wps:spPr>
                        <a:xfrm>
                          <a:off x="0" y="0"/>
                          <a:ext cx="6134100" cy="635"/>
                        </a:xfrm>
                        <a:prstGeom prst="straightConnector1">
                          <a:avLst/>
                        </a:prstGeom>
                        <a:ln w="15875" cap="flat" cmpd="sng">
                          <a:solidFill>
                            <a:srgbClr val="FF0000"/>
                          </a:solidFill>
                          <a:prstDash val="solid"/>
                          <a:headEnd type="none" w="med" len="med"/>
                          <a:tailEnd type="none" w="med" len="med"/>
                        </a:ln>
                        <a:effectLst/>
                      </wps:spPr>
                      <wps:bodyPr rot="0" vert="horz" wrap="square" lIns="91440" tIns="45720" rIns="91440" bIns="45720" anchor="t" anchorCtr="0"/>
                    </wps:wsp>
                  </a:graphicData>
                </a:graphic>
              </wp:anchor>
            </w:drawing>
          </mc:Choice>
          <mc:Fallback>
            <w:pict>
              <v:shape id="_x0000_s1026" o:spid="_x0000_s1026" o:spt="32" type="#_x0000_t32" style="position:absolute;left:0pt;margin-left:-16.7pt;margin-top:640.95pt;height:0.05pt;width:483pt;z-index:251661312;mso-width-relative:page;mso-height-relative:page;" filled="f" stroked="t" coordsize="21600,21600" o:gfxdata="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">
                <v:fill on="f" focussize="0,0"/>
                <v:stroke weight="1.25pt" color="#FF0000" joinstyle="round"/>
                <v:imagedata o:title=""/>
                <o:lock v:ext="edit" aspectratio="f"/>
              </v:shape>
            </w:pict>
          </mc:Fallback>
        </mc:AlternateContent>
      </w:r>
      <w:r>
        <w:rPr>
          <w:szCs w:val="21"/>
        </w:rPr>
        <mc:AlternateContent>
          <mc:Choice Requires="wps">
            <w:drawing>
              <wp:anchor distT="0" distB="0" distL="114300" distR="114300" simplePos="0" relativeHeight="251662336" behindDoc="0" locked="0" layoutInCell="1" allowOverlap="1">
                <wp:simplePos x="0" y="0"/>
                <wp:positionH relativeFrom="column">
                  <wp:posOffset>-212090</wp:posOffset>
                </wp:positionH>
                <wp:positionV relativeFrom="paragraph">
                  <wp:posOffset>8140065</wp:posOffset>
                </wp:positionV>
                <wp:extent cx="635" cy="0"/>
                <wp:effectExtent l="0" t="4445" r="0" b="5080"/>
                <wp:wrapNone/>
                <wp:docPr id="9" name="直接箭头连接符 9"/>
                <wp:cNvGraphicFramePr/>
                <a:graphic xmlns:a="http://schemas.openxmlformats.org/drawingml/2006/main">
                  <a:graphicData uri="http://schemas.microsoft.com/office/word/2010/wordprocessingShape">
                    <wps:wsp>
                      <wps:cNvCnPr/>
                      <wps:spPr>
                        <a:xfrm>
                          <a:off x="0" y="0"/>
                          <a:ext cx="635" cy="0"/>
                        </a:xfrm>
                        <a:prstGeom prst="straightConnector1">
                          <a:avLst/>
                        </a:prstGeom>
                        <a:ln w="3175" cap="flat" cmpd="sng">
                          <a:solidFill>
                            <a:srgbClr val="FF0000"/>
                          </a:solidFill>
                          <a:prstDash val="solid"/>
                          <a:headEnd type="none" w="med" len="med"/>
                          <a:tailEnd type="none" w="med" len="med"/>
                        </a:ln>
                        <a:effectLst/>
                      </wps:spPr>
                      <wps:bodyPr rot="0" vert="horz" wrap="square" lIns="91440" tIns="45720" rIns="91440" bIns="45720" anchor="t" anchorCtr="0"/>
                    </wps:wsp>
                  </a:graphicData>
                </a:graphic>
              </wp:anchor>
            </w:drawing>
          </mc:Choice>
          <mc:Fallback>
            <w:pict>
              <v:shape id="_x0000_s1026" o:spid="_x0000_s1026" o:spt="32" type="#_x0000_t32" style="position:absolute;left:0pt;margin-left:-16.7pt;margin-top:640.95pt;height:0pt;width:0.05pt;z-index:251662336;mso-width-relative:page;mso-height-relative:page;" filled="f" stroked="t" coordsize="21600,21600" o:gfxdata="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">
                <v:fill on="f" focussize="0,0"/>
                <v:stroke weight="0.25pt" color="#FF0000" joinstyle="round"/>
                <v:imagedata o:title=""/>
                <o:lock v:ext="edit" aspectratio="f"/>
              </v:shape>
            </w:pict>
          </mc:Fallback>
        </mc:AlternateContent>
      </w:r>
    </w:p>
    <w:p>
      <w:pPr>
        <w:pStyle w:val="13"/>
        <w:snapToGrid w:val="0"/>
        <w:spacing w:line="560" w:lineRule="exact"/>
        <w:rPr>
          <w:rFonts w:hint="eastAsia" w:ascii="方正小标宋简体" w:hAnsi="方正小标宋简体" w:eastAsia="方正小标宋简体" w:cs="方正小标宋简体"/>
          <w:bCs/>
          <w:color w:val="000000"/>
        </w:rPr>
      </w:pPr>
      <w:r>
        <w:rPr>
          <w:rFonts w:hint="eastAsia" w:ascii="方正小标宋简体" w:hAnsi="方正小标宋简体" w:eastAsia="方正小标宋简体" w:cs="方正小标宋简体"/>
          <w:bCs/>
          <w:color w:val="000000"/>
          <w:lang w:eastAsia="zh-CN"/>
        </w:rPr>
        <w:t>深圳市</w:t>
      </w:r>
      <w:r>
        <w:rPr>
          <w:rFonts w:hint="eastAsia" w:ascii="方正小标宋简体" w:hAnsi="方正小标宋简体" w:eastAsia="方正小标宋简体" w:cs="方正小标宋简体"/>
          <w:bCs/>
          <w:color w:val="000000"/>
        </w:rPr>
        <w:t>福田区城市管理和综合执法局关于深圳市福田区政协会议第2024153号</w:t>
      </w:r>
    </w:p>
    <w:p>
      <w:pPr>
        <w:pStyle w:val="13"/>
        <w:snapToGrid w:val="0"/>
        <w:spacing w:line="560" w:lineRule="exact"/>
        <w:rPr>
          <w:rFonts w:hint="eastAsia" w:ascii="方正小标宋简体" w:hAnsi="方正小标宋简体" w:eastAsia="方正小标宋简体" w:cs="方正小标宋简体"/>
          <w:bCs/>
          <w:color w:val="000000"/>
        </w:rPr>
      </w:pPr>
      <w:r>
        <w:rPr>
          <w:rFonts w:hint="eastAsia" w:ascii="方正小标宋简体" w:hAnsi="方正小标宋简体" w:eastAsia="方正小标宋简体" w:cs="方正小标宋简体"/>
          <w:bCs/>
          <w:color w:val="000000"/>
        </w:rPr>
        <w:t>建议的答复</w:t>
      </w:r>
    </w:p>
    <w:p>
      <w:pPr>
        <w:pStyle w:val="13"/>
        <w:snapToGrid w:val="0"/>
        <w:spacing w:line="560" w:lineRule="exact"/>
        <w:rPr>
          <w:rFonts w:ascii="方正小标宋简体" w:hAnsi="方正小标宋简体" w:eastAsia="方正小标宋简体" w:cs="方正小标宋简体"/>
          <w:bCs/>
          <w:color w:val="00000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sz w:val="32"/>
          <w:szCs w:val="32"/>
        </w:rPr>
        <w:t>尊敬的</w:t>
      </w:r>
      <w:r>
        <w:rPr>
          <w:rFonts w:hint="eastAsia" w:ascii="仿宋_GB2312" w:hAnsi="仿宋_GB2312" w:eastAsia="仿宋_GB2312" w:cs="仿宋_GB2312"/>
          <w:b w:val="0"/>
          <w:bCs w:val="0"/>
          <w:sz w:val="32"/>
          <w:szCs w:val="32"/>
          <w:lang w:val="en-US" w:eastAsia="zh-CN"/>
        </w:rPr>
        <w:t>房立新</w:t>
      </w:r>
      <w:r>
        <w:rPr>
          <w:rFonts w:hint="eastAsia" w:ascii="仿宋_GB2312" w:hAnsi="仿宋_GB2312" w:eastAsia="仿宋_GB2312" w:cs="仿宋_GB2312"/>
          <w:sz w:val="32"/>
          <w:szCs w:val="32"/>
          <w:lang w:val="en-US" w:eastAsia="zh-CN"/>
        </w:rPr>
        <w:t>委员</w:t>
      </w:r>
      <w:r>
        <w:rPr>
          <w:rFonts w:hint="eastAsia" w:ascii="仿宋_GB2312" w:hAnsi="仿宋_GB2312" w:eastAsia="仿宋_GB2312" w:cs="仿宋_GB2312"/>
          <w:sz w:val="32"/>
          <w:szCs w:val="32"/>
          <w:lang w:eastAsia="zh-CN"/>
        </w:rPr>
        <w:t>：</w:t>
      </w:r>
    </w:p>
    <w:p>
      <w:pPr>
        <w:pStyle w:val="15"/>
        <w:spacing w:line="54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w:t>
      </w:r>
      <w:r>
        <w:rPr>
          <w:rFonts w:hint="eastAsia" w:hAnsi="仿宋_GB2312" w:cs="仿宋_GB2312"/>
          <w:sz w:val="32"/>
          <w:szCs w:val="32"/>
          <w:lang w:eastAsia="zh-CN"/>
        </w:rPr>
        <w:t>《</w:t>
      </w:r>
      <w:r>
        <w:rPr>
          <w:rFonts w:hint="eastAsia" w:ascii="仿宋_GB2312" w:hAnsi="仿宋_GB2312" w:eastAsia="仿宋_GB2312" w:cs="仿宋_GB2312"/>
          <w:b w:val="0"/>
          <w:bCs w:val="0"/>
          <w:sz w:val="32"/>
          <w:szCs w:val="32"/>
          <w:lang w:val="en-US" w:eastAsia="zh-CN"/>
        </w:rPr>
        <w:t>建议将竹子林汽车展厅变更为汽车长期用地，助力福田汽车消费提升</w:t>
      </w:r>
      <w:r>
        <w:rPr>
          <w:rFonts w:hint="eastAsia" w:hAnsi="仿宋_GB2312" w:cs="仿宋_GB2312"/>
          <w:sz w:val="32"/>
          <w:szCs w:val="32"/>
          <w:lang w:eastAsia="zh-CN"/>
        </w:rPr>
        <w:t>》</w:t>
      </w:r>
      <w:r>
        <w:rPr>
          <w:rFonts w:hint="eastAsia" w:ascii="仿宋_GB2312" w:hAnsi="仿宋_GB2312" w:eastAsia="仿宋_GB2312" w:cs="仿宋_GB2312"/>
          <w:sz w:val="32"/>
          <w:szCs w:val="32"/>
          <w:lang w:val="en-US" w:eastAsia="zh-CN"/>
        </w:rPr>
        <w:t>(第2024153号）</w:t>
      </w:r>
      <w:r>
        <w:rPr>
          <w:rFonts w:hint="eastAsia" w:ascii="仿宋_GB2312" w:hAnsi="仿宋_GB2312" w:eastAsia="仿宋_GB2312" w:cs="仿宋_GB2312"/>
          <w:sz w:val="32"/>
          <w:szCs w:val="32"/>
        </w:rPr>
        <w:t>已收悉。感谢您对我区城市管理工作的支持和关心，现将办理情况答复如下：</w:t>
      </w:r>
    </w:p>
    <w:p>
      <w:pPr>
        <w:keepNext w:val="0"/>
        <w:keepLines w:val="0"/>
        <w:pageBreakBefore w:val="0"/>
        <w:widowControl w:val="0"/>
        <w:numPr>
          <w:ilvl w:val="0"/>
          <w:numId w:val="0"/>
        </w:numPr>
        <w:kinsoku/>
        <w:overflowPunct/>
        <w:topLinePunct w:val="0"/>
        <w:autoSpaceDE w:val="0"/>
        <w:autoSpaceDN w:val="0"/>
        <w:bidi w:val="0"/>
        <w:adjustRightInd/>
        <w:snapToGrid/>
        <w:spacing w:before="0" w:beforeLines="0" w:after="0" w:afterLines="0" w:line="579"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一、您提出的建议</w:t>
      </w:r>
      <w:r>
        <w:rPr>
          <w:rFonts w:hint="eastAsia" w:ascii="仿宋_GB2312" w:hAnsi="仿宋_GB2312" w:eastAsia="仿宋_GB2312" w:cs="仿宋_GB2312"/>
          <w:sz w:val="32"/>
          <w:szCs w:val="32"/>
          <w:lang w:val="en-US" w:eastAsia="zh-CN"/>
        </w:rPr>
        <w:t>立足于保障中心城区汽车产业长久发展，</w:t>
      </w:r>
      <w:r>
        <w:rPr>
          <w:rFonts w:hint="eastAsia" w:ascii="仿宋_GB2312" w:hAnsi="仿宋_GB2312" w:eastAsia="仿宋_GB2312" w:cs="仿宋_GB2312"/>
          <w:color w:val="auto"/>
          <w:sz w:val="32"/>
          <w:szCs w:val="32"/>
          <w:lang w:eastAsia="zh-CN"/>
        </w:rPr>
        <w:t>刺激福田区大宗消费</w:t>
      </w:r>
      <w:r>
        <w:rPr>
          <w:rFonts w:hint="eastAsia" w:ascii="仿宋_GB2312" w:hAnsi="仿宋_GB2312" w:eastAsia="仿宋_GB2312" w:cs="仿宋_GB2312"/>
          <w:sz w:val="32"/>
          <w:szCs w:val="32"/>
          <w:lang w:val="en-US" w:eastAsia="zh-CN"/>
        </w:rPr>
        <w:t>市场的潜力</w:t>
      </w:r>
      <w:r>
        <w:rPr>
          <w:rFonts w:hint="eastAsia" w:ascii="仿宋_GB2312" w:hAnsi="仿宋_GB2312" w:eastAsia="仿宋_GB2312" w:cs="仿宋_GB2312"/>
          <w:color w:val="auto"/>
          <w:sz w:val="32"/>
          <w:szCs w:val="32"/>
          <w:lang w:val="en-US" w:eastAsia="zh-CN"/>
        </w:rPr>
        <w:t>，为城区居民提供更加便捷、效率的服务，也</w:t>
      </w:r>
      <w:r>
        <w:rPr>
          <w:rFonts w:hint="eastAsia" w:ascii="仿宋_GB2312" w:hAnsi="仿宋_GB2312" w:eastAsia="仿宋_GB2312" w:cs="仿宋_GB2312"/>
          <w:color w:val="auto"/>
          <w:sz w:val="32"/>
          <w:szCs w:val="32"/>
          <w:lang w:eastAsia="zh-CN"/>
        </w:rPr>
        <w:t>为城市的发展提供有力支持</w:t>
      </w:r>
      <w:r>
        <w:rPr>
          <w:rFonts w:hint="eastAsia" w:ascii="仿宋_GB2312" w:hAnsi="仿宋_GB2312" w:eastAsia="仿宋_GB2312" w:cs="仿宋_GB2312"/>
          <w:color w:val="auto"/>
          <w:sz w:val="32"/>
          <w:szCs w:val="32"/>
          <w:lang w:val="en-US" w:eastAsia="zh-CN"/>
        </w:rPr>
        <w:t>，是</w:t>
      </w:r>
      <w:r>
        <w:rPr>
          <w:rFonts w:hint="eastAsia" w:ascii="仿宋_GB2312" w:hAnsi="仿宋_GB2312" w:eastAsia="仿宋_GB2312" w:cs="仿宋_GB2312"/>
          <w:color w:val="auto"/>
          <w:sz w:val="32"/>
          <w:szCs w:val="32"/>
          <w:lang w:eastAsia="zh-CN"/>
        </w:rPr>
        <w:t>建设“首善之区、幸福福田”的好提案。</w:t>
      </w:r>
    </w:p>
    <w:p>
      <w:pPr>
        <w:keepNext w:val="0"/>
        <w:keepLines w:val="0"/>
        <w:pageBreakBefore w:val="0"/>
        <w:widowControl w:val="0"/>
        <w:numPr>
          <w:ilvl w:val="0"/>
          <w:numId w:val="0"/>
        </w:numPr>
        <w:kinsoku/>
        <w:overflowPunct/>
        <w:topLinePunct w:val="0"/>
        <w:autoSpaceDE w:val="0"/>
        <w:autoSpaceDN w:val="0"/>
        <w:bidi w:val="0"/>
        <w:adjustRightInd/>
        <w:snapToGrid/>
        <w:spacing w:before="0" w:beforeLines="0" w:after="0" w:afterLines="0" w:line="579"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二、关于汽车产业扶持方面。福田区政府长期以来高度重视</w:t>
      </w:r>
      <w:r>
        <w:rPr>
          <w:rFonts w:hint="eastAsia" w:ascii="仿宋_GB2312" w:hAnsi="仿宋_GB2312" w:eastAsia="仿宋_GB2312" w:cs="仿宋_GB2312"/>
          <w:sz w:val="32"/>
          <w:szCs w:val="32"/>
          <w:lang w:val="en-US" w:eastAsia="zh-CN"/>
        </w:rPr>
        <w:t>汽车产业的发展</w:t>
      </w:r>
      <w:r>
        <w:rPr>
          <w:rFonts w:hint="eastAsia" w:ascii="仿宋_GB2312" w:hAnsi="仿宋_GB2312" w:eastAsia="仿宋_GB2312" w:cs="仿宋_GB2312"/>
          <w:color w:val="auto"/>
          <w:sz w:val="32"/>
          <w:szCs w:val="32"/>
          <w:lang w:val="en-US" w:eastAsia="zh-CN"/>
        </w:rPr>
        <w:t>，在</w:t>
      </w:r>
      <w:r>
        <w:rPr>
          <w:rFonts w:hint="eastAsia" w:ascii="仿宋_GB2312" w:hAnsi="仿宋_GB2312" w:eastAsia="仿宋_GB2312" w:cs="仿宋_GB2312"/>
          <w:b w:val="0"/>
          <w:bCs w:val="0"/>
          <w:sz w:val="32"/>
          <w:szCs w:val="32"/>
          <w:lang w:val="en-US" w:eastAsia="zh-CN"/>
        </w:rPr>
        <w:t>汽车消费产业链的建设及汽车消费领域补贴方面进行重点研究和谋划。</w:t>
      </w:r>
      <w:r>
        <w:rPr>
          <w:rFonts w:hint="eastAsia" w:ascii="仿宋_GB2312" w:hAnsi="仿宋_GB2312" w:eastAsia="仿宋_GB2312" w:cs="仿宋_GB2312"/>
          <w:color w:val="auto"/>
          <w:sz w:val="32"/>
          <w:szCs w:val="32"/>
          <w:lang w:val="en-US" w:eastAsia="zh-CN"/>
        </w:rPr>
        <w:t>为进一步推动产业链发展，目前我区正在研究对福田区交通枢纽进行升级改造，项目升级完成后将在满足“综合交通新业态服务板块”、“交通安全科教及文化服务板块”、“交通配套服务板块”三大基本板块的前提下，新增创新的汽车服务产业集群，打造大湾区集交通、科技与文化一体的多功能综合交通服务枢纽和高质量汽车服务产业生态综合体。为有效推动汽车以旧换新，促进消费升级换代，福田区积极响应贯彻落实市局关于汽车“置换更新”补贴政策的工作部署，并且在5月份发布了《2024年福田区夏季汽车消费补贴活动实施方案》等相关补贴政策，消费者在福田区即可享受上述补贴政策。</w:t>
      </w:r>
    </w:p>
    <w:p>
      <w:pPr>
        <w:keepNext w:val="0"/>
        <w:keepLines w:val="0"/>
        <w:pageBreakBefore w:val="0"/>
        <w:widowControl w:val="0"/>
        <w:numPr>
          <w:ilvl w:val="0"/>
          <w:numId w:val="0"/>
        </w:numPr>
        <w:kinsoku/>
        <w:overflowPunct/>
        <w:topLinePunct w:val="0"/>
        <w:autoSpaceDE w:val="0"/>
        <w:autoSpaceDN w:val="0"/>
        <w:bidi w:val="0"/>
        <w:adjustRightInd/>
        <w:snapToGrid/>
        <w:spacing w:before="0" w:beforeLines="0" w:after="0" w:afterLines="0" w:line="579"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三、关于已出让地临时建筑审批类型方面。根据《市规划和自然资源局关于进一步规范临时建筑规划管理的通知》 (深规划资源〔2019〕213号)的要求，能审批的临时建筑类型已无“商业”、“工商经营”等类型。为解决福田区土地资源开发强度高、空间资源紧缺，从而制约经济社会发展的问题，福田区在新出台的《深圳市福田区已出让国有土地上临时建筑管理办法》</w:t>
      </w:r>
      <w:r>
        <w:rPr>
          <w:rFonts w:hint="eastAsia" w:ascii="仿宋_GB2312" w:hAnsi="仿宋_GB2312" w:eastAsia="仿宋_GB2312" w:cs="仿宋_GB2312"/>
          <w:color w:val="auto"/>
          <w:sz w:val="32"/>
          <w:szCs w:val="32"/>
          <w:lang w:val="en-US" w:eastAsia="zh-CN"/>
        </w:rPr>
        <w:t>（福府办规〔2023〕12号）第七条中</w:t>
      </w:r>
      <w:r>
        <w:rPr>
          <w:rFonts w:hint="eastAsia" w:ascii="仿宋_GB2312" w:hAnsi="仿宋_GB2312" w:eastAsia="仿宋_GB2312" w:cs="仿宋_GB2312"/>
          <w:color w:val="auto"/>
          <w:sz w:val="32"/>
          <w:szCs w:val="32"/>
          <w:lang w:eastAsia="zh-CN"/>
        </w:rPr>
        <w:t>创新增加</w:t>
      </w:r>
      <w:r>
        <w:rPr>
          <w:rFonts w:hint="eastAsia" w:ascii="仿宋_GB2312" w:hAnsi="仿宋_GB2312" w:eastAsia="仿宋_GB2312" w:cs="仿宋_GB2312"/>
          <w:color w:val="auto"/>
          <w:sz w:val="32"/>
          <w:szCs w:val="32"/>
          <w:lang w:val="en-US" w:eastAsia="zh-CN"/>
        </w:rPr>
        <w:t>了“</w:t>
      </w:r>
      <w:r>
        <w:rPr>
          <w:rFonts w:hint="eastAsia" w:ascii="仿宋_GB2312" w:hAnsi="Times New Roman" w:eastAsia="仿宋_GB2312" w:cs="Times New Roman"/>
          <w:sz w:val="32"/>
          <w:szCs w:val="32"/>
        </w:rPr>
        <w:t>因重大公共利益需要而</w:t>
      </w:r>
      <w:r>
        <w:rPr>
          <w:rFonts w:hint="eastAsia" w:ascii="仿宋_GB2312" w:hAnsi="仿宋_GB2312" w:eastAsia="仿宋_GB2312" w:cs="仿宋_GB2312"/>
          <w:color w:val="auto"/>
          <w:sz w:val="32"/>
          <w:szCs w:val="32"/>
          <w:lang w:eastAsia="zh-CN"/>
        </w:rPr>
        <w:t>建设的临时建筑</w:t>
      </w:r>
      <w:r>
        <w:rPr>
          <w:rFonts w:hint="eastAsia" w:ascii="仿宋_GB2312" w:hAnsi="仿宋_GB2312" w:eastAsia="仿宋_GB2312" w:cs="仿宋_GB2312"/>
          <w:color w:val="auto"/>
          <w:sz w:val="32"/>
          <w:szCs w:val="32"/>
          <w:lang w:val="en-US" w:eastAsia="zh-CN"/>
        </w:rPr>
        <w:t>”的临时建筑类型，为福田区重大项目落地提供支撑。</w:t>
      </w:r>
    </w:p>
    <w:p>
      <w:pPr>
        <w:keepNext w:val="0"/>
        <w:keepLines w:val="0"/>
        <w:pageBreakBefore w:val="0"/>
        <w:widowControl w:val="0"/>
        <w:numPr>
          <w:ilvl w:val="0"/>
          <w:numId w:val="0"/>
        </w:numPr>
        <w:kinsoku/>
        <w:overflowPunct/>
        <w:topLinePunct w:val="0"/>
        <w:autoSpaceDE w:val="0"/>
        <w:autoSpaceDN w:val="0"/>
        <w:bidi w:val="0"/>
        <w:adjustRightInd/>
        <w:snapToGrid/>
        <w:spacing w:before="0" w:beforeLines="0" w:after="0" w:afterLines="0" w:line="579" w:lineRule="exact"/>
        <w:ind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四、关于竹子林汽车展厅建设方面。2024年，我局多次联合区住建局、福田消防救援大队对项目现场进行实地检查，确保现场消防、结构安全无隐患；为解决该项目到期问题，我局会同建设单位地铁集团、行业主管部门（区商务局）、沙头街道办对项目进行现场走访座谈并研究解决路径，因上位法对于临时建筑的时限有明确规定</w:t>
      </w:r>
      <w:r>
        <w:rPr>
          <w:rFonts w:hint="eastAsia" w:ascii="仿宋_GB2312" w:hAnsi="仿宋_GB2312" w:eastAsia="仿宋_GB2312" w:cs="仿宋_GB2312"/>
          <w:color w:val="auto"/>
          <w:sz w:val="32"/>
          <w:szCs w:val="32"/>
          <w:lang w:eastAsia="zh-CN"/>
        </w:rPr>
        <w:t>，目前我局正会同有关单位研究解决。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再次感谢您对我区城市管理工作的关心和支持，恳请您继续对城市管理工作多提宝贵意见</w:t>
      </w:r>
      <w:r>
        <w:rPr>
          <w:rFonts w:hint="eastAsia" w:ascii="仿宋_GB2312" w:hAnsi="仿宋_GB2312" w:eastAsia="仿宋_GB2312" w:cs="仿宋_GB2312"/>
          <w:sz w:val="32"/>
          <w:szCs w:val="32"/>
          <w:lang w:eastAsia="zh-CN"/>
        </w:rPr>
        <w:t>。</w:t>
      </w:r>
    </w:p>
    <w:p>
      <w:pPr>
        <w:pStyle w:val="5"/>
        <w:jc w:val="both"/>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（此页无正文）   </w:t>
      </w:r>
    </w:p>
    <w:p>
      <w:pPr>
        <w:keepNext w:val="0"/>
        <w:keepLines w:val="0"/>
        <w:pageBreakBefore w:val="0"/>
        <w:kinsoku/>
        <w:wordWrap/>
        <w:overflowPunct/>
        <w:topLinePunct w:val="0"/>
        <w:autoSpaceDE/>
        <w:autoSpaceDN/>
        <w:bidi w:val="0"/>
        <w:adjustRightInd/>
        <w:snapToGrid/>
        <w:spacing w:line="560" w:lineRule="exact"/>
        <w:ind w:left="5748" w:leftChars="2280" w:hanging="960" w:hangingChars="3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left="5748" w:leftChars="2280" w:hanging="960" w:hanging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福田区</w:t>
      </w:r>
      <w:r>
        <w:rPr>
          <w:rFonts w:hint="eastAsia" w:ascii="仿宋_GB2312" w:hAnsi="仿宋_GB2312" w:eastAsia="仿宋_GB2312" w:cs="仿宋_GB2312"/>
          <w:sz w:val="32"/>
          <w:szCs w:val="32"/>
          <w:lang w:eastAsia="zh-CN"/>
        </w:rPr>
        <w:t>城市管理</w:t>
      </w:r>
      <w:r>
        <w:rPr>
          <w:rFonts w:hint="eastAsia" w:ascii="仿宋_GB2312" w:hAnsi="仿宋_GB2312" w:eastAsia="仿宋_GB2312" w:cs="仿宋_GB2312"/>
          <w:sz w:val="32"/>
          <w:szCs w:val="32"/>
        </w:rPr>
        <w:t>和综合执法局</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15日</w:t>
      </w:r>
    </w:p>
    <w:p>
      <w:pPr>
        <w:pStyle w:val="5"/>
        <w:keepNext w:val="0"/>
        <w:keepLines w:val="0"/>
        <w:pageBreakBefore w:val="0"/>
        <w:widowControl w:val="0"/>
        <w:kinsoku/>
        <w:wordWrap/>
        <w:overflowPunct/>
        <w:topLinePunct w:val="0"/>
        <w:autoSpaceDE/>
        <w:autoSpaceDN/>
        <w:bidi w:val="0"/>
        <w:adjustRightInd/>
        <w:snapToGrid/>
        <w:spacing w:line="560" w:lineRule="exact"/>
        <w:ind w:firstLine="1920" w:firstLineChars="600"/>
        <w:jc w:val="both"/>
        <w:textAlignment w:val="auto"/>
        <w:rPr>
          <w:rFonts w:hint="eastAsia" w:ascii="仿宋_GB2312" w:hAnsi="仿宋_GB2312" w:eastAsia="仿宋_GB2312" w:cs="仿宋_GB2312"/>
          <w:sz w:val="32"/>
          <w:szCs w:val="32"/>
          <w:lang w:val="en-US" w:eastAsia="zh-CN"/>
        </w:rPr>
      </w:pPr>
    </w:p>
    <w:p>
      <w:pPr>
        <w:pStyle w:val="5"/>
        <w:keepNext w:val="0"/>
        <w:keepLines w:val="0"/>
        <w:pageBreakBefore w:val="0"/>
        <w:widowControl w:val="0"/>
        <w:kinsoku/>
        <w:wordWrap/>
        <w:overflowPunct/>
        <w:topLinePunct w:val="0"/>
        <w:autoSpaceDE/>
        <w:autoSpaceDN/>
        <w:bidi w:val="0"/>
        <w:adjustRightInd/>
        <w:snapToGrid/>
        <w:spacing w:line="560" w:lineRule="exact"/>
        <w:ind w:firstLine="1920" w:firstLineChars="600"/>
        <w:jc w:val="both"/>
        <w:textAlignment w:val="auto"/>
        <w:rPr>
          <w:rFonts w:hint="default"/>
          <w:sz w:val="32"/>
          <w:szCs w:val="32"/>
          <w:lang w:val="en-US" w:eastAsia="zh-CN"/>
        </w:rPr>
      </w:pPr>
      <w:r>
        <w:rPr>
          <w:rFonts w:hint="eastAsia" w:ascii="仿宋_GB2312" w:hAnsi="仿宋_GB2312" w:eastAsia="仿宋_GB2312" w:cs="仿宋_GB2312"/>
          <w:sz w:val="32"/>
          <w:szCs w:val="32"/>
          <w:lang w:val="en-US" w:eastAsia="zh-CN"/>
        </w:rPr>
        <w:t xml:space="preserve"> 联系人：叶松，联系电话：83800873</w:t>
      </w:r>
    </w:p>
    <w:sectPr>
      <w:footerReference r:id="rId3" w:type="default"/>
      <w:pgSz w:w="11906" w:h="16838"/>
      <w:pgMar w:top="1800" w:right="1440" w:bottom="1800" w:left="1440" w:header="851" w:footer="992" w:gutter="0"/>
      <w:cols w:space="720" w:num="1"/>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a:noFill/>
                      </a:ln>
                      <a:effectLst/>
                    </wps:spPr>
                    <wps:txbx>
                      <w:txbxContent>
                        <w:p>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2</w:t>
                          </w:r>
                          <w:r>
                            <w:rPr>
                              <w:rFonts w:hint="eastAsia" w:ascii="宋体" w:hAnsi="宋体" w:cs="宋体"/>
                              <w:sz w:val="28"/>
                              <w:szCs w:val="28"/>
                            </w:rPr>
                            <w:fldChar w:fldCharType="end"/>
                          </w:r>
                        </w:p>
                      </w:txbxContent>
                    </wps:txbx>
                    <wps:bodyPr rot="0"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">
              <v:fill on="f" focussize="0,0"/>
              <v:stroke on="f" weight="1pt"/>
              <v:imagedata o:title=""/>
              <o:lock v:ext="edit" aspectratio="f"/>
              <v:textbox inset="0mm,0mm,0mm,0mm" style="mso-fit-shape-to-text:t;">
                <w:txbxContent>
                  <w:p>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2</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revisionView w:markup="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21417AEB"/>
    <w:rsid w:val="0203305B"/>
    <w:rsid w:val="05FF595A"/>
    <w:rsid w:val="07C244A5"/>
    <w:rsid w:val="09A3577C"/>
    <w:rsid w:val="0D2A2038"/>
    <w:rsid w:val="0E9DEA68"/>
    <w:rsid w:val="0EBC3FAC"/>
    <w:rsid w:val="0FD65262"/>
    <w:rsid w:val="11921BBC"/>
    <w:rsid w:val="137E0817"/>
    <w:rsid w:val="13FC1BEC"/>
    <w:rsid w:val="15F27AF6"/>
    <w:rsid w:val="16C93770"/>
    <w:rsid w:val="176DE2EB"/>
    <w:rsid w:val="17DF0972"/>
    <w:rsid w:val="17F92B82"/>
    <w:rsid w:val="18D5309D"/>
    <w:rsid w:val="1BB634E2"/>
    <w:rsid w:val="1BFBE6F3"/>
    <w:rsid w:val="1E4C976E"/>
    <w:rsid w:val="1EFFED47"/>
    <w:rsid w:val="1FA16837"/>
    <w:rsid w:val="1FED530E"/>
    <w:rsid w:val="1FFF02BE"/>
    <w:rsid w:val="20D958AC"/>
    <w:rsid w:val="21417AEB"/>
    <w:rsid w:val="220A1C99"/>
    <w:rsid w:val="22221159"/>
    <w:rsid w:val="22E67500"/>
    <w:rsid w:val="232F8BB4"/>
    <w:rsid w:val="251B4AEF"/>
    <w:rsid w:val="266BC2CE"/>
    <w:rsid w:val="27F70BAA"/>
    <w:rsid w:val="27FEA179"/>
    <w:rsid w:val="2A2E2FA6"/>
    <w:rsid w:val="2BF23E09"/>
    <w:rsid w:val="2BFAEB97"/>
    <w:rsid w:val="2CFD77C4"/>
    <w:rsid w:val="2DA02C34"/>
    <w:rsid w:val="2E6D54F9"/>
    <w:rsid w:val="2FF996B2"/>
    <w:rsid w:val="2FFBD6DF"/>
    <w:rsid w:val="2FFF48F4"/>
    <w:rsid w:val="32A82FBB"/>
    <w:rsid w:val="3387267D"/>
    <w:rsid w:val="33B5BF09"/>
    <w:rsid w:val="33FF2E2D"/>
    <w:rsid w:val="356772BE"/>
    <w:rsid w:val="35722519"/>
    <w:rsid w:val="368F4CE8"/>
    <w:rsid w:val="36F50D96"/>
    <w:rsid w:val="36F54849"/>
    <w:rsid w:val="37BBCCCA"/>
    <w:rsid w:val="37FD03BB"/>
    <w:rsid w:val="37FDE36E"/>
    <w:rsid w:val="39F3286A"/>
    <w:rsid w:val="3A6B95DE"/>
    <w:rsid w:val="3AFA07F1"/>
    <w:rsid w:val="3BE78481"/>
    <w:rsid w:val="3BED49D6"/>
    <w:rsid w:val="3BF93DA9"/>
    <w:rsid w:val="3BFD805F"/>
    <w:rsid w:val="3C6FA94C"/>
    <w:rsid w:val="3CED7EF3"/>
    <w:rsid w:val="3D9FDFF2"/>
    <w:rsid w:val="3DBAD9CA"/>
    <w:rsid w:val="3DBFC1A4"/>
    <w:rsid w:val="3DFE1405"/>
    <w:rsid w:val="3E2C64D5"/>
    <w:rsid w:val="3F6FBD83"/>
    <w:rsid w:val="3F79052B"/>
    <w:rsid w:val="3F7FA273"/>
    <w:rsid w:val="3FBD9CA0"/>
    <w:rsid w:val="3FDDF7D2"/>
    <w:rsid w:val="3FF66D46"/>
    <w:rsid w:val="3FF9C941"/>
    <w:rsid w:val="3FFA1945"/>
    <w:rsid w:val="3FFDD55D"/>
    <w:rsid w:val="3FFF95BD"/>
    <w:rsid w:val="48572C35"/>
    <w:rsid w:val="48D76CD6"/>
    <w:rsid w:val="4BF7F02F"/>
    <w:rsid w:val="4C080F90"/>
    <w:rsid w:val="4E173E66"/>
    <w:rsid w:val="4F7D23BA"/>
    <w:rsid w:val="4FEDDB73"/>
    <w:rsid w:val="4FFB4A33"/>
    <w:rsid w:val="53572FB0"/>
    <w:rsid w:val="53FF3ADD"/>
    <w:rsid w:val="54B538D2"/>
    <w:rsid w:val="54F72933"/>
    <w:rsid w:val="55FE17F7"/>
    <w:rsid w:val="57E3954D"/>
    <w:rsid w:val="57EB077F"/>
    <w:rsid w:val="57EBC855"/>
    <w:rsid w:val="5954915F"/>
    <w:rsid w:val="59996678"/>
    <w:rsid w:val="59BF3AAF"/>
    <w:rsid w:val="5B3F08A0"/>
    <w:rsid w:val="5BB0FEAC"/>
    <w:rsid w:val="5BB7A867"/>
    <w:rsid w:val="5BD76C87"/>
    <w:rsid w:val="5BFDBEE6"/>
    <w:rsid w:val="5C8100DD"/>
    <w:rsid w:val="5D327BF3"/>
    <w:rsid w:val="5D9F71DF"/>
    <w:rsid w:val="5DACD07E"/>
    <w:rsid w:val="5DEF9F44"/>
    <w:rsid w:val="5EEF9692"/>
    <w:rsid w:val="5EFC46B5"/>
    <w:rsid w:val="5F351819"/>
    <w:rsid w:val="5FBE8802"/>
    <w:rsid w:val="5FC99F97"/>
    <w:rsid w:val="5FEDE11B"/>
    <w:rsid w:val="5FF732FF"/>
    <w:rsid w:val="5FF786C3"/>
    <w:rsid w:val="5FFD4BA7"/>
    <w:rsid w:val="62384BE6"/>
    <w:rsid w:val="64281C48"/>
    <w:rsid w:val="64921CE3"/>
    <w:rsid w:val="64F7103C"/>
    <w:rsid w:val="6727D789"/>
    <w:rsid w:val="67CEA043"/>
    <w:rsid w:val="67EB3054"/>
    <w:rsid w:val="67FBB161"/>
    <w:rsid w:val="67FF3D0D"/>
    <w:rsid w:val="68FB4280"/>
    <w:rsid w:val="697FA4E6"/>
    <w:rsid w:val="6AAA6EFE"/>
    <w:rsid w:val="6B003350"/>
    <w:rsid w:val="6B461550"/>
    <w:rsid w:val="6BD577C3"/>
    <w:rsid w:val="6BDEF932"/>
    <w:rsid w:val="6BDF6292"/>
    <w:rsid w:val="6BDF76D2"/>
    <w:rsid w:val="6BFBA442"/>
    <w:rsid w:val="6D6F1963"/>
    <w:rsid w:val="6DB40D3D"/>
    <w:rsid w:val="6DBFE5DA"/>
    <w:rsid w:val="6DFFC99E"/>
    <w:rsid w:val="6EEE34A5"/>
    <w:rsid w:val="6EF1CCC7"/>
    <w:rsid w:val="6EFEAB70"/>
    <w:rsid w:val="6F7BAB0B"/>
    <w:rsid w:val="6FC24CD3"/>
    <w:rsid w:val="6FC7B64E"/>
    <w:rsid w:val="6FEF8E70"/>
    <w:rsid w:val="6FFD0C23"/>
    <w:rsid w:val="71D7EA30"/>
    <w:rsid w:val="72F72139"/>
    <w:rsid w:val="73EF7B2B"/>
    <w:rsid w:val="742E34AA"/>
    <w:rsid w:val="749BB180"/>
    <w:rsid w:val="75A4530B"/>
    <w:rsid w:val="766E0F05"/>
    <w:rsid w:val="774FFAE0"/>
    <w:rsid w:val="775F733C"/>
    <w:rsid w:val="776E8662"/>
    <w:rsid w:val="776F4DB6"/>
    <w:rsid w:val="77733E9C"/>
    <w:rsid w:val="779B934B"/>
    <w:rsid w:val="77AF0B46"/>
    <w:rsid w:val="77AFCB18"/>
    <w:rsid w:val="77BF7E8F"/>
    <w:rsid w:val="77C719D6"/>
    <w:rsid w:val="77FB01F2"/>
    <w:rsid w:val="77FF7EC1"/>
    <w:rsid w:val="77FFADE6"/>
    <w:rsid w:val="78AF17D9"/>
    <w:rsid w:val="794F19B9"/>
    <w:rsid w:val="79710819"/>
    <w:rsid w:val="797B8E2D"/>
    <w:rsid w:val="79B51C65"/>
    <w:rsid w:val="79BDF83B"/>
    <w:rsid w:val="79EBA090"/>
    <w:rsid w:val="79FF1885"/>
    <w:rsid w:val="7AF1DE75"/>
    <w:rsid w:val="7B526D6A"/>
    <w:rsid w:val="7B5B6C7B"/>
    <w:rsid w:val="7B5D45DD"/>
    <w:rsid w:val="7B7754F0"/>
    <w:rsid w:val="7BCF6ABC"/>
    <w:rsid w:val="7BDD09C6"/>
    <w:rsid w:val="7BDE31DC"/>
    <w:rsid w:val="7BFB4E72"/>
    <w:rsid w:val="7BFEFA09"/>
    <w:rsid w:val="7BFFE868"/>
    <w:rsid w:val="7D6208F4"/>
    <w:rsid w:val="7D73631F"/>
    <w:rsid w:val="7D7EE6BF"/>
    <w:rsid w:val="7D970FCC"/>
    <w:rsid w:val="7DB173AC"/>
    <w:rsid w:val="7DBDC7FF"/>
    <w:rsid w:val="7DDFE832"/>
    <w:rsid w:val="7DFDD68C"/>
    <w:rsid w:val="7E4DFA51"/>
    <w:rsid w:val="7EF98DFC"/>
    <w:rsid w:val="7EFBE9AB"/>
    <w:rsid w:val="7EFFD86D"/>
    <w:rsid w:val="7F3ABA13"/>
    <w:rsid w:val="7F3B503E"/>
    <w:rsid w:val="7F3BDA6D"/>
    <w:rsid w:val="7F9CDB1F"/>
    <w:rsid w:val="7FA6B14C"/>
    <w:rsid w:val="7FBF45CA"/>
    <w:rsid w:val="7FC73208"/>
    <w:rsid w:val="7FCFA79C"/>
    <w:rsid w:val="7FF19CF3"/>
    <w:rsid w:val="7FF9E9AE"/>
    <w:rsid w:val="7FFB1D4E"/>
    <w:rsid w:val="7FFB7FC4"/>
    <w:rsid w:val="7FFE1D01"/>
    <w:rsid w:val="7FFF1F41"/>
    <w:rsid w:val="7FFF922A"/>
    <w:rsid w:val="8EABD836"/>
    <w:rsid w:val="99CF4B47"/>
    <w:rsid w:val="9AFF145D"/>
    <w:rsid w:val="9BBFE229"/>
    <w:rsid w:val="9BEF7C08"/>
    <w:rsid w:val="9CFDBC42"/>
    <w:rsid w:val="9D7BA557"/>
    <w:rsid w:val="9DFDF255"/>
    <w:rsid w:val="9EEFD095"/>
    <w:rsid w:val="9FBE179B"/>
    <w:rsid w:val="9FF7A1C3"/>
    <w:rsid w:val="A43736C2"/>
    <w:rsid w:val="A5FE4A42"/>
    <w:rsid w:val="A6A47E3C"/>
    <w:rsid w:val="A7E79E5E"/>
    <w:rsid w:val="A9E33673"/>
    <w:rsid w:val="ADB54F6E"/>
    <w:rsid w:val="ADFF3452"/>
    <w:rsid w:val="AFF97ABB"/>
    <w:rsid w:val="B1FB3B98"/>
    <w:rsid w:val="B33FCECF"/>
    <w:rsid w:val="B52D7F33"/>
    <w:rsid w:val="B5CFA05A"/>
    <w:rsid w:val="B8F6D5EC"/>
    <w:rsid w:val="B91EEAA7"/>
    <w:rsid w:val="BAF72582"/>
    <w:rsid w:val="BBBF0E5E"/>
    <w:rsid w:val="BBE790F1"/>
    <w:rsid w:val="BBFB237C"/>
    <w:rsid w:val="BCB40DB2"/>
    <w:rsid w:val="BDBF9F36"/>
    <w:rsid w:val="BDEE2CC9"/>
    <w:rsid w:val="BDF7810E"/>
    <w:rsid w:val="BE7FA283"/>
    <w:rsid w:val="BE9A3412"/>
    <w:rsid w:val="BEFF224A"/>
    <w:rsid w:val="BEFF5362"/>
    <w:rsid w:val="BF78A9B0"/>
    <w:rsid w:val="BF88C85F"/>
    <w:rsid w:val="BF9E8317"/>
    <w:rsid w:val="BFDFD55A"/>
    <w:rsid w:val="BFF786AB"/>
    <w:rsid w:val="BFFFF07C"/>
    <w:rsid w:val="C5559992"/>
    <w:rsid w:val="C5FF5D92"/>
    <w:rsid w:val="C7DF8850"/>
    <w:rsid w:val="C7FB3406"/>
    <w:rsid w:val="C9B3BEA7"/>
    <w:rsid w:val="C9FB471B"/>
    <w:rsid w:val="CAFCD870"/>
    <w:rsid w:val="CC7F6A92"/>
    <w:rsid w:val="CD3EB468"/>
    <w:rsid w:val="CD97F1EF"/>
    <w:rsid w:val="CEFBB2F9"/>
    <w:rsid w:val="CF7F16AA"/>
    <w:rsid w:val="CFAF26DB"/>
    <w:rsid w:val="CFE7795B"/>
    <w:rsid w:val="D371D1DD"/>
    <w:rsid w:val="D3D7E207"/>
    <w:rsid w:val="D3FB249B"/>
    <w:rsid w:val="D7F7C047"/>
    <w:rsid w:val="D7FD02BF"/>
    <w:rsid w:val="D83F7C47"/>
    <w:rsid w:val="DBFBD382"/>
    <w:rsid w:val="DCCDF71D"/>
    <w:rsid w:val="DCF32A15"/>
    <w:rsid w:val="DCFFFF5B"/>
    <w:rsid w:val="DD7E8451"/>
    <w:rsid w:val="DDBECA89"/>
    <w:rsid w:val="DE95BC84"/>
    <w:rsid w:val="DEFF973D"/>
    <w:rsid w:val="DF25B2B4"/>
    <w:rsid w:val="DF379CB1"/>
    <w:rsid w:val="DFBF4904"/>
    <w:rsid w:val="DFDE828A"/>
    <w:rsid w:val="DFDF9DD2"/>
    <w:rsid w:val="E5B52006"/>
    <w:rsid w:val="E70F7BC7"/>
    <w:rsid w:val="E7291032"/>
    <w:rsid w:val="E77F4F61"/>
    <w:rsid w:val="E7BDE590"/>
    <w:rsid w:val="E7F3F258"/>
    <w:rsid w:val="E7FDD223"/>
    <w:rsid w:val="EB76A4DC"/>
    <w:rsid w:val="EB7F45DB"/>
    <w:rsid w:val="EBBF6713"/>
    <w:rsid w:val="EBD3B10C"/>
    <w:rsid w:val="ED79DD08"/>
    <w:rsid w:val="ED7FAA99"/>
    <w:rsid w:val="EDBF339D"/>
    <w:rsid w:val="EDD70D4B"/>
    <w:rsid w:val="EDEFA726"/>
    <w:rsid w:val="EDFFE5B6"/>
    <w:rsid w:val="EE5A4A3E"/>
    <w:rsid w:val="EED768DE"/>
    <w:rsid w:val="EF7B0504"/>
    <w:rsid w:val="EF7BE69B"/>
    <w:rsid w:val="EF8909FC"/>
    <w:rsid w:val="EFB72074"/>
    <w:rsid w:val="EFBB1801"/>
    <w:rsid w:val="EFC313D6"/>
    <w:rsid w:val="EFCF729E"/>
    <w:rsid w:val="EFDF4DF0"/>
    <w:rsid w:val="EFE523E0"/>
    <w:rsid w:val="EFE60705"/>
    <w:rsid w:val="EFFFF841"/>
    <w:rsid w:val="F1FBCCCB"/>
    <w:rsid w:val="F37E2899"/>
    <w:rsid w:val="F4FF3015"/>
    <w:rsid w:val="F6BF0304"/>
    <w:rsid w:val="F75B1B77"/>
    <w:rsid w:val="F77D8E73"/>
    <w:rsid w:val="F7B5071E"/>
    <w:rsid w:val="F7BDDAA5"/>
    <w:rsid w:val="F7BF76E6"/>
    <w:rsid w:val="F7EA5BFB"/>
    <w:rsid w:val="F7EF9F70"/>
    <w:rsid w:val="F88F8672"/>
    <w:rsid w:val="F9ED2508"/>
    <w:rsid w:val="F9FE82DD"/>
    <w:rsid w:val="F9FF6A40"/>
    <w:rsid w:val="FADF8522"/>
    <w:rsid w:val="FB5B2510"/>
    <w:rsid w:val="FBB95177"/>
    <w:rsid w:val="FBBB1CAE"/>
    <w:rsid w:val="FBBDFA13"/>
    <w:rsid w:val="FBE53DAB"/>
    <w:rsid w:val="FBEC2B1E"/>
    <w:rsid w:val="FBEF627A"/>
    <w:rsid w:val="FBFB7B83"/>
    <w:rsid w:val="FBFF3985"/>
    <w:rsid w:val="FBFF665C"/>
    <w:rsid w:val="FCBAA9CF"/>
    <w:rsid w:val="FCBB9636"/>
    <w:rsid w:val="FCE704F4"/>
    <w:rsid w:val="FD9F1DA4"/>
    <w:rsid w:val="FDBEF660"/>
    <w:rsid w:val="FDBF6846"/>
    <w:rsid w:val="FDC72121"/>
    <w:rsid w:val="FDDB16C4"/>
    <w:rsid w:val="FDF2F488"/>
    <w:rsid w:val="FDF2FE5C"/>
    <w:rsid w:val="FDFF3F13"/>
    <w:rsid w:val="FDFFE4C4"/>
    <w:rsid w:val="FE7D1C4D"/>
    <w:rsid w:val="FEAAC67F"/>
    <w:rsid w:val="FECE6060"/>
    <w:rsid w:val="FED7134E"/>
    <w:rsid w:val="FEEF7C90"/>
    <w:rsid w:val="FEFEA056"/>
    <w:rsid w:val="FF2FCE9D"/>
    <w:rsid w:val="FF5F3A9E"/>
    <w:rsid w:val="FF73E145"/>
    <w:rsid w:val="FF75E0A5"/>
    <w:rsid w:val="FF770DEA"/>
    <w:rsid w:val="FF7BF618"/>
    <w:rsid w:val="FF7E4740"/>
    <w:rsid w:val="FF7F8D94"/>
    <w:rsid w:val="FF935195"/>
    <w:rsid w:val="FF9EC667"/>
    <w:rsid w:val="FF9FF20E"/>
    <w:rsid w:val="FFB6E682"/>
    <w:rsid w:val="FFBD2852"/>
    <w:rsid w:val="FFC265FC"/>
    <w:rsid w:val="FFDB0D3B"/>
    <w:rsid w:val="FFDBDCEA"/>
    <w:rsid w:val="FFE3192D"/>
    <w:rsid w:val="FFEE014D"/>
    <w:rsid w:val="FFEF4D7E"/>
    <w:rsid w:val="FFF02B5C"/>
    <w:rsid w:val="FFF52840"/>
    <w:rsid w:val="FFF54C13"/>
    <w:rsid w:val="FFF5BC91"/>
    <w:rsid w:val="FFF69211"/>
    <w:rsid w:val="FFFB8919"/>
    <w:rsid w:val="FFFC8E70"/>
    <w:rsid w:val="FFFD2D77"/>
    <w:rsid w:val="FFFDB44B"/>
    <w:rsid w:val="FFFDDEE2"/>
    <w:rsid w:val="FFFE1916"/>
    <w:rsid w:val="FFFE46A6"/>
    <w:rsid w:val="FFFFD0A1"/>
    <w:rsid w:val="FFFFDA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keepNext/>
      <w:keepLines/>
      <w:spacing w:beforeLines="0" w:beforeAutospacing="0" w:afterLines="0" w:afterAutospacing="0" w:line="579" w:lineRule="exact"/>
      <w:outlineLvl w:val="1"/>
    </w:pPr>
    <w:rPr>
      <w:rFonts w:ascii="Arial" w:hAnsi="Arial" w:eastAsia="黑体"/>
      <w:b/>
      <w:sz w:val="32"/>
      <w:szCs w:val="22"/>
    </w:rPr>
  </w:style>
  <w:style w:type="paragraph" w:styleId="4">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w:basedOn w:val="1"/>
    <w:next w:val="1"/>
    <w:unhideWhenUsed/>
    <w:qFormat/>
    <w:uiPriority w:val="99"/>
    <w:pPr>
      <w:jc w:val="center"/>
    </w:pPr>
    <w:rPr>
      <w:rFonts w:ascii="宋体"/>
      <w:sz w:val="44"/>
    </w:rPr>
  </w:style>
  <w:style w:type="paragraph" w:styleId="6">
    <w:name w:val="Body Text Indent"/>
    <w:basedOn w:val="1"/>
    <w:unhideWhenUsed/>
    <w:qFormat/>
    <w:uiPriority w:val="99"/>
    <w:pPr>
      <w:spacing w:after="120"/>
      <w:ind w:left="420" w:leftChars="200"/>
    </w:p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6"/>
    <w:qFormat/>
    <w:uiPriority w:val="0"/>
    <w:pPr>
      <w:ind w:firstLine="420" w:firstLineChars="200"/>
    </w:pPr>
  </w:style>
  <w:style w:type="character" w:styleId="12">
    <w:name w:val="Hyperlink"/>
    <w:basedOn w:val="11"/>
    <w:qFormat/>
    <w:uiPriority w:val="0"/>
    <w:rPr>
      <w:color w:val="0000FF"/>
      <w:u w:val="single"/>
    </w:rPr>
  </w:style>
  <w:style w:type="paragraph" w:customStyle="1" w:styleId="13">
    <w:name w:val="UserStyle_6"/>
    <w:qFormat/>
    <w:uiPriority w:val="0"/>
    <w:pPr>
      <w:jc w:val="center"/>
    </w:pPr>
    <w:rPr>
      <w:rFonts w:ascii="宋体" w:hAnsi="宋体" w:eastAsia="宋体" w:cs="Times New Roman"/>
      <w:sz w:val="44"/>
      <w:szCs w:val="44"/>
      <w:lang w:val="en-US" w:eastAsia="zh-CN" w:bidi="ar-SA"/>
    </w:rPr>
  </w:style>
  <w:style w:type="paragraph" w:customStyle="1" w:styleId="14">
    <w:name w:val="p0"/>
    <w:basedOn w:val="1"/>
    <w:qFormat/>
    <w:uiPriority w:val="0"/>
    <w:pPr>
      <w:widowControl/>
    </w:pPr>
    <w:rPr>
      <w:kern w:val="0"/>
      <w:szCs w:val="21"/>
    </w:rPr>
  </w:style>
  <w:style w:type="paragraph" w:customStyle="1" w:styleId="15">
    <w:name w:val="p17"/>
    <w:basedOn w:val="1"/>
    <w:qFormat/>
    <w:uiPriority w:val="0"/>
    <w:pPr>
      <w:widowControl/>
      <w:ind w:firstLine="630"/>
    </w:pPr>
    <w:rPr>
      <w:rFonts w:ascii="仿宋_GB2312" w:hAnsi="宋体" w:eastAsia="仿宋_GB2312" w:cs="宋体"/>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887</Words>
  <Characters>998</Characters>
  <Lines>0</Lines>
  <Paragraphs>0</Paragraphs>
  <TotalTime>2</TotalTime>
  <ScaleCrop>false</ScaleCrop>
  <LinksUpToDate>false</LinksUpToDate>
  <CharactersWithSpaces>1028</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2023-06-03T07:16:00Z</dcterms:created>
  <dc:creator>园林科</dc:creator>
  <cp:lastModifiedBy>叶松</cp:lastModifiedBy>
  <cp:lastPrinted>2023-06-03T09:21:00Z</cp:lastPrinted>
  <dcterms:modified xsi:type="dcterms:W3CDTF">2024-08-15T14:13:55Z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C7C1FAEA110B868CA39CBD660C5CA012</vt:lpwstr>
  </property>
</Properties>
</file>