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EAD25">
      <w:pPr>
        <w:pStyle w:val="9"/>
        <w:spacing w:line="54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福田区城市管理和综合执法局关于深圳市福田区政协会议委员提案第2024197号的答复</w:t>
      </w:r>
    </w:p>
    <w:p w14:paraId="7D6FBF77">
      <w:pPr>
        <w:pStyle w:val="9"/>
        <w:spacing w:line="540" w:lineRule="exact"/>
        <w:rPr>
          <w:rFonts w:hint="eastAsia" w:ascii="宋体" w:hAnsi="宋体"/>
          <w:b w:val="0"/>
          <w:bCs/>
          <w:sz w:val="44"/>
          <w:szCs w:val="44"/>
        </w:rPr>
      </w:pPr>
    </w:p>
    <w:p w14:paraId="01E1F694">
      <w:pPr>
        <w:pStyle w:val="9"/>
        <w:spacing w:line="540" w:lineRule="exact"/>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rPr>
        <w:t>尊敬的</w:t>
      </w:r>
      <w:r>
        <w:rPr>
          <w:rFonts w:hint="eastAsia" w:ascii="仿宋_GB2312" w:hAnsi="仿宋_GB2312" w:eastAsia="仿宋_GB2312" w:cs="仿宋_GB2312"/>
          <w:b w:val="0"/>
          <w:bCs/>
          <w:sz w:val="32"/>
          <w:szCs w:val="32"/>
          <w:lang w:val="en-US" w:eastAsia="zh-CN"/>
        </w:rPr>
        <w:t>胡建军</w:t>
      </w:r>
      <w:r>
        <w:rPr>
          <w:rFonts w:hint="eastAsia" w:ascii="仿宋_GB2312" w:hAnsi="仿宋_GB2312" w:eastAsia="仿宋_GB2312" w:cs="仿宋_GB2312"/>
          <w:sz w:val="32"/>
          <w:szCs w:val="32"/>
        </w:rPr>
        <w:t>代表：</w:t>
      </w:r>
    </w:p>
    <w:p w14:paraId="0BC5C118">
      <w:pPr>
        <w:pStyle w:val="10"/>
        <w:spacing w:line="54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您提出的</w:t>
      </w:r>
      <w:r>
        <w:rPr>
          <w:rFonts w:hint="eastAsia" w:hAnsi="仿宋_GB2312" w:cs="仿宋_GB2312"/>
          <w:sz w:val="32"/>
          <w:szCs w:val="32"/>
          <w:lang w:eastAsia="zh-CN"/>
        </w:rPr>
        <w:t>《</w:t>
      </w:r>
      <w:r>
        <w:rPr>
          <w:rFonts w:hint="eastAsia" w:ascii="仿宋_GB2312" w:hAnsi="仿宋_GB2312" w:eastAsia="仿宋_GB2312" w:cs="仿宋_GB2312"/>
          <w:sz w:val="32"/>
          <w:szCs w:val="32"/>
        </w:rPr>
        <w:t>关于福田区垃圾分类工作智能化的建议</w:t>
      </w:r>
      <w:r>
        <w:rPr>
          <w:rFonts w:hint="eastAsia" w:hAnsi="仿宋_GB2312" w:cs="仿宋_GB2312"/>
          <w:sz w:val="32"/>
          <w:szCs w:val="32"/>
          <w:lang w:eastAsia="zh-CN"/>
        </w:rPr>
        <w:t>》</w:t>
      </w:r>
      <w:r>
        <w:rPr>
          <w:rFonts w:hint="eastAsia" w:ascii="仿宋_GB2312" w:hAnsi="仿宋_GB2312" w:eastAsia="仿宋_GB2312" w:cs="仿宋_GB2312"/>
          <w:sz w:val="32"/>
          <w:szCs w:val="32"/>
          <w:lang w:val="en-US" w:eastAsia="zh-CN"/>
        </w:rPr>
        <w:t>(第2024197号）</w:t>
      </w:r>
      <w:r>
        <w:rPr>
          <w:rFonts w:hint="eastAsia" w:ascii="仿宋_GB2312" w:hAnsi="仿宋_GB2312" w:eastAsia="仿宋_GB2312" w:cs="仿宋_GB2312"/>
          <w:sz w:val="32"/>
          <w:szCs w:val="32"/>
        </w:rPr>
        <w:t>已收悉。感谢您对我区城市管理工作的支持和关心，现将办理情况答复如下：</w:t>
      </w:r>
    </w:p>
    <w:p w14:paraId="110120AB">
      <w:pPr>
        <w:pStyle w:val="10"/>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一、关于建立智能垃圾分类管理系统，实现垃圾分类的智能化管理的建议</w:t>
      </w:r>
    </w:p>
    <w:p w14:paraId="6F275F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我区积极探索智慧赋能生活垃圾分类治理，在不打破原有的市场运营体系的基础上引入回收企业，计划在全区推广厨余垃圾和再生资源智能回收。我局联合各街道办事处在辖区试点并推行，通过采用前端智能分类投放，中端智慧赋码收运，末端即时就地处理，最后的产出物进行昆虫生物技术转化，变废为宝，实现厨余垃圾的“一体化、智能化、本地化、资源化”的全链条智慧管理。</w:t>
      </w:r>
    </w:p>
    <w:p w14:paraId="72F856B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sz w:val="32"/>
          <w:szCs w:val="32"/>
          <w:lang w:val="en-US" w:eastAsia="zh-CN"/>
        </w:rPr>
        <w:t>同时，为确保试点工作的有序高效推进，我局联合园岭街道成立了试点专班，完善日常运营体系组织架构，通过</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走进企业送服务、听诉求，在服务招采中设置鼓励企业创新，以“零费用”模式与回收企业合作，由企业在试点小区增加智能厨余投放设备及积分兑换柜，搭建智慧化运营平台，加强对平台运维管理，并由专员定期对智能投放设备及后台数据进行核对更新，实现了政府可掌握每个小区的真实分类量、分类动态与分类的优劣情况。打造了政府部门-运营（回收）企业-巡检专员-业主用户的各级联动，做到相互监督管理，避免出现管理漏洞。</w:t>
      </w:r>
    </w:p>
    <w:p w14:paraId="222F3FCE">
      <w:pPr>
        <w:pStyle w:val="10"/>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二、关于建立智能垃圾分类管理系统，实现垃圾分类的智能化管理的建议</w:t>
      </w:r>
    </w:p>
    <w:p w14:paraId="7F1DC53D">
      <w:pPr>
        <w:pStyle w:val="10"/>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hAnsi="仿宋_GB2312" w:cs="仿宋_GB2312"/>
          <w:bCs/>
          <w:color w:val="auto"/>
          <w:kern w:val="2"/>
          <w:sz w:val="32"/>
          <w:szCs w:val="32"/>
          <w:lang w:val="en-US" w:eastAsia="zh-CN" w:bidi="ar-SA"/>
        </w:rPr>
      </w:pPr>
      <w:r>
        <w:rPr>
          <w:rFonts w:hint="eastAsia" w:hAnsi="仿宋_GB2312" w:cs="仿宋_GB2312"/>
          <w:bCs/>
          <w:color w:val="auto"/>
          <w:kern w:val="2"/>
          <w:sz w:val="32"/>
          <w:szCs w:val="32"/>
          <w:lang w:val="en-US" w:eastAsia="zh-CN" w:bidi="ar-SA"/>
        </w:rPr>
        <w:t>我区正在建设</w:t>
      </w:r>
      <w:r>
        <w:rPr>
          <w:rFonts w:hint="eastAsia" w:ascii="仿宋_GB2312" w:hAnsi="仿宋_GB2312" w:eastAsia="仿宋_GB2312" w:cs="仿宋_GB2312"/>
          <w:color w:val="auto"/>
          <w:sz w:val="32"/>
          <w:lang w:val="en-US" w:eastAsia="zh-CN"/>
        </w:rPr>
        <w:t>福田生活垃圾分类全过程物联感知系统</w:t>
      </w:r>
      <w:r>
        <w:rPr>
          <w:rFonts w:hint="eastAsia" w:hAnsi="仿宋_GB2312" w:cs="仿宋_GB2312"/>
          <w:color w:val="auto"/>
          <w:sz w:val="32"/>
          <w:lang w:val="en-US" w:eastAsia="zh-CN"/>
        </w:rPr>
        <w:t>，</w:t>
      </w:r>
      <w:r>
        <w:rPr>
          <w:rFonts w:hint="eastAsia" w:hAnsi="仿宋_GB2312" w:cs="仿宋_GB2312"/>
          <w:bCs/>
          <w:color w:val="auto"/>
          <w:kern w:val="2"/>
          <w:sz w:val="32"/>
          <w:szCs w:val="32"/>
          <w:lang w:val="en-US" w:eastAsia="zh-CN" w:bidi="ar-SA"/>
        </w:rPr>
        <w:t>目前已初步完成建设与运行。</w:t>
      </w:r>
      <w:r>
        <w:rPr>
          <w:rFonts w:hint="eastAsia" w:ascii="仿宋_GB2312" w:hAnsi="仿宋_GB2312" w:eastAsia="仿宋_GB2312" w:cs="仿宋_GB2312"/>
          <w:color w:val="auto"/>
          <w:sz w:val="32"/>
          <w:lang w:val="en-US" w:eastAsia="zh-CN"/>
        </w:rPr>
        <w:t>物联感知系统</w:t>
      </w:r>
      <w:r>
        <w:rPr>
          <w:rFonts w:hint="eastAsia" w:hAnsi="仿宋_GB2312" w:cs="仿宋_GB2312"/>
          <w:bCs/>
          <w:color w:val="auto"/>
          <w:kern w:val="2"/>
          <w:sz w:val="32"/>
          <w:szCs w:val="32"/>
          <w:lang w:val="en-US" w:eastAsia="zh-CN" w:bidi="ar-SA"/>
        </w:rPr>
        <w:t>依托移动互联网、物联网、5G/4G通讯、大数据、云计算、人工智能等新一代信息技术，构建基于AIoT的福田区生活垃圾全过程分类物联感知系统项目，实现对福田区生活垃圾从分类宣教、分类投放、分类收集、分类运输、分类处理5大环节全生命周期动态监管服务，通过对源头市民垃圾分类参与数据、垃圾称重数据、垃圾末端回收利用数据的精准采集，利用人工智能、大数据分析手段，掌握福田区垃圾分类覆盖率、居民参与率、投放正确率等数据，实现对生活垃圾分类全过程动态智能监管服务，进一步提升福田区生活垃圾分类精细化智能管理水平。自2024年5月6日起，全区垃圾分类业务全面使用物联感知系统，截至目前系统开通账户总数2155个，其中街道层级95个，社区层级737个，收运企业185个，物业企业1138个。街道、社区、物业公司等已全面在区物联感知系统中进行业务填报。</w:t>
      </w:r>
    </w:p>
    <w:p w14:paraId="28AA56CE">
      <w:pPr>
        <w:pStyle w:val="10"/>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三、关于开展垃圾分类智能化技术的宣传教育的建议</w:t>
      </w:r>
    </w:p>
    <w:p w14:paraId="2493B6B5">
      <w:pPr>
        <w:pStyle w:val="10"/>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Cs/>
          <w:color w:val="000000" w:themeColor="text1"/>
          <w:kern w:val="2"/>
          <w:sz w:val="32"/>
          <w:szCs w:val="32"/>
          <w:lang w:val="en-US" w:eastAsia="zh-CN" w:bidi="ar-SA"/>
          <w14:textFill>
            <w14:solidFill>
              <w14:schemeClr w14:val="tx1"/>
            </w14:solidFill>
          </w14:textFill>
        </w:rPr>
        <w:t>我区通过“线上+线下”结合的方式，全面宣传垃圾分类智能化技术。线上广泛宣传：利用</w:t>
      </w:r>
      <w:r>
        <w:rPr>
          <w:rFonts w:hint="eastAsia" w:hAnsi="仿宋_GB2312" w:cs="仿宋_GB2312"/>
          <w:bCs/>
          <w:color w:val="000000" w:themeColor="text1"/>
          <w:kern w:val="2"/>
          <w:sz w:val="32"/>
          <w:szCs w:val="32"/>
          <w:lang w:val="en-US" w:eastAsia="zh-CN" w:bidi="ar-SA"/>
          <w14:textFill>
            <w14:solidFill>
              <w14:schemeClr w14:val="tx1"/>
            </w14:solidFill>
          </w14:textFill>
        </w:rPr>
        <w:t>“</w:t>
      </w:r>
      <w:r>
        <w:rPr>
          <w:rFonts w:hint="eastAsia" w:ascii="仿宋_GB2312" w:hAnsi="仿宋_GB2312" w:eastAsia="仿宋_GB2312" w:cs="仿宋_GB2312"/>
          <w:bCs/>
          <w:color w:val="000000" w:themeColor="text1"/>
          <w:kern w:val="2"/>
          <w:sz w:val="32"/>
          <w:szCs w:val="32"/>
          <w:lang w:val="en-US" w:eastAsia="zh-CN" w:bidi="ar-SA"/>
          <w14:textFill>
            <w14:solidFill>
              <w14:schemeClr w14:val="tx1"/>
            </w14:solidFill>
          </w14:textFill>
        </w:rPr>
        <w:t>福田城事</w:t>
      </w:r>
      <w:r>
        <w:rPr>
          <w:rFonts w:hint="eastAsia" w:hAnsi="仿宋_GB2312" w:cs="仿宋_GB2312"/>
          <w:bCs/>
          <w:color w:val="000000" w:themeColor="text1"/>
          <w:kern w:val="2"/>
          <w:sz w:val="32"/>
          <w:szCs w:val="32"/>
          <w:lang w:val="en-US" w:eastAsia="zh-CN" w:bidi="ar-SA"/>
          <w14:textFill>
            <w14:solidFill>
              <w14:schemeClr w14:val="tx1"/>
            </w14:solidFill>
          </w14:textFill>
        </w:rPr>
        <w:t>”</w:t>
      </w:r>
      <w:r>
        <w:rPr>
          <w:rFonts w:hint="eastAsia" w:ascii="仿宋_GB2312" w:hAnsi="仿宋_GB2312" w:eastAsia="仿宋_GB2312" w:cs="仿宋_GB2312"/>
          <w:bCs/>
          <w:color w:val="000000" w:themeColor="text1"/>
          <w:kern w:val="2"/>
          <w:sz w:val="32"/>
          <w:szCs w:val="32"/>
          <w:lang w:val="en-US" w:eastAsia="zh-CN" w:bidi="ar-SA"/>
          <w14:textFill>
            <w14:solidFill>
              <w14:schemeClr w14:val="tx1"/>
            </w14:solidFill>
          </w14:textFill>
        </w:rPr>
        <w:t>公众号平台，发布《智能分类齐分享，福田环保新时尚》推文，对福田首创的厨余垃圾智慧管理新模式、再生资源智能回收新体系进行宣传，构建政府引导、企业支持、群众参与、高科技赋能、“一户一码”的垃圾分类新模式；通过晶报发表《视频+AI，分类减量“码”上办！感受智慧化垃圾分类福田新模式》新闻稿，全面介绍福田“一户一码”推广情况。线下实地指导：2024年上半年，共在辖区开展9场“再生资源焕新生，绿色低碳新生活”再生资源回收及二手商品交易宣传进社区活动，通过在活动现场指导市民使用再生资源回收箱，让市民感受智能投放带来的便利和收益，激发市民参与垃圾分类积极性。</w:t>
      </w:r>
    </w:p>
    <w:p w14:paraId="5C85280F">
      <w:pPr>
        <w:keepNext w:val="0"/>
        <w:keepLines w:val="0"/>
        <w:pageBreakBefore w:val="0"/>
        <w:widowControl w:val="0"/>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仿宋_GB2312" w:hAnsi="仿宋_GB2312" w:eastAsia="仿宋_GB2312" w:cs="仿宋_GB2312"/>
          <w:color w:val="auto"/>
          <w:sz w:val="32"/>
          <w:lang w:val="en-US" w:eastAsia="zh-CN"/>
        </w:rPr>
      </w:pPr>
      <w:r>
        <w:rPr>
          <w:rFonts w:hint="eastAsia" w:ascii="仿宋_GB2312" w:hAnsi="仿宋_GB2312" w:eastAsia="仿宋_GB2312" w:cs="仿宋_GB2312"/>
          <w:color w:val="auto"/>
          <w:sz w:val="32"/>
          <w:lang w:val="en-US" w:eastAsia="zh-CN"/>
        </w:rPr>
        <w:t>依托福田生活垃圾分类全过程物联感知系统，目前已在物联感知系统中配置智慧宣教业务板块，通过板块下的入户宣传、志愿督导、科普馆预约、AI垃圾分类、线上课堂、环保活动、线下活动、蒲公英计划等形式多样的功能业务，实现垃圾分类智能化宣传教育，提升市民垃圾分类知晓率、参与率和专业性。通过i福田小程序接入垃圾分类物联感知模块，调动全区各街道、社区垃圾分类专干、物业主管承载分类业务途径。下一步也将使用福田城事、福田区志愿者团队、蒲公英计划等途径宣传、发布垃圾分类知识、智能投放设施使用方法，进一步提升市民垃圾分类意识。</w:t>
      </w:r>
    </w:p>
    <w:p w14:paraId="1B980B18">
      <w:pPr>
        <w:pStyle w:val="10"/>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四、关于通过监控、RFID等数据手段监控智能设备的正常使用情况等，对智能垃圾分类工作进行监管的建议</w:t>
      </w:r>
    </w:p>
    <w:p w14:paraId="4BB6D31A">
      <w:pPr>
        <w:pStyle w:val="10"/>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bCs/>
          <w:color w:val="auto"/>
          <w:kern w:val="2"/>
          <w:sz w:val="32"/>
          <w:szCs w:val="32"/>
          <w:lang w:val="en-US" w:eastAsia="zh-CN" w:bidi="ar-SA"/>
        </w:rPr>
      </w:pPr>
      <w:r>
        <w:rPr>
          <w:rFonts w:hint="eastAsia" w:ascii="仿宋_GB2312" w:hAnsi="仿宋_GB2312" w:eastAsia="仿宋_GB2312" w:cs="仿宋_GB2312"/>
          <w:color w:val="auto"/>
          <w:sz w:val="32"/>
          <w:lang w:val="en-US" w:eastAsia="zh-CN"/>
        </w:rPr>
        <w:t>福田生活垃圾分类全过程物联感知系统</w:t>
      </w:r>
      <w:r>
        <w:rPr>
          <w:rFonts w:hint="eastAsia" w:ascii="仿宋_GB2312" w:hAnsi="仿宋_GB2312" w:eastAsia="仿宋_GB2312" w:cs="仿宋_GB2312"/>
          <w:bCs/>
          <w:color w:val="auto"/>
          <w:kern w:val="2"/>
          <w:sz w:val="32"/>
          <w:szCs w:val="32"/>
          <w:lang w:val="en-US" w:eastAsia="zh-CN" w:bidi="ar-SA"/>
        </w:rPr>
        <w:t>系统当前已采用RFID物联网技术、人工智能技术、大数据分析技术，利用投放称重溯源、人工智能投递识别等智能算法初步构建生活垃圾分类过程的投、收、运、处四个环节的智能化监管体系；智能溯源方面，当前系统通过前端监控摄像头初步实现垃圾暴露、垃圾桶满溢等环境识别算法，下一步将</w:t>
      </w:r>
      <w:r>
        <w:rPr>
          <w:rFonts w:hint="eastAsia" w:hAnsi="仿宋_GB2312" w:cs="仿宋_GB2312"/>
          <w:bCs/>
          <w:color w:val="auto"/>
          <w:kern w:val="2"/>
          <w:sz w:val="32"/>
          <w:szCs w:val="32"/>
          <w:lang w:val="en-US" w:eastAsia="zh-CN" w:bidi="ar-SA"/>
        </w:rPr>
        <w:t>在</w:t>
      </w:r>
      <w:r>
        <w:rPr>
          <w:rFonts w:hint="eastAsia" w:ascii="仿宋_GB2312" w:hAnsi="仿宋_GB2312" w:eastAsia="仿宋_GB2312" w:cs="仿宋_GB2312"/>
          <w:bCs/>
          <w:color w:val="auto"/>
          <w:kern w:val="2"/>
          <w:sz w:val="32"/>
          <w:szCs w:val="32"/>
          <w:lang w:val="en-US" w:eastAsia="zh-CN" w:bidi="ar-SA"/>
        </w:rPr>
        <w:t>AI算力补强后投入居民投放正确率相关算法的使用，掌握居民投放投放行为</w:t>
      </w:r>
      <w:r>
        <w:rPr>
          <w:rFonts w:hint="eastAsia" w:hAnsi="仿宋_GB2312" w:cs="仿宋_GB2312"/>
          <w:bCs/>
          <w:color w:val="auto"/>
          <w:kern w:val="2"/>
          <w:sz w:val="32"/>
          <w:szCs w:val="32"/>
          <w:lang w:val="en-US" w:eastAsia="zh-CN" w:bidi="ar-SA"/>
        </w:rPr>
        <w:t>，</w:t>
      </w:r>
      <w:r>
        <w:rPr>
          <w:rFonts w:hint="eastAsia" w:ascii="仿宋_GB2312" w:hAnsi="仿宋_GB2312" w:eastAsia="仿宋_GB2312" w:cs="仿宋_GB2312"/>
          <w:bCs/>
          <w:color w:val="auto"/>
          <w:kern w:val="2"/>
          <w:sz w:val="32"/>
          <w:szCs w:val="32"/>
          <w:lang w:val="en-US" w:eastAsia="zh-CN" w:bidi="ar-SA"/>
        </w:rPr>
        <w:t>实现智能监管</w:t>
      </w:r>
      <w:r>
        <w:rPr>
          <w:rFonts w:hint="eastAsia" w:hAnsi="仿宋_GB2312" w:cs="仿宋_GB2312"/>
          <w:bCs/>
          <w:color w:val="auto"/>
          <w:kern w:val="2"/>
          <w:sz w:val="32"/>
          <w:szCs w:val="32"/>
          <w:lang w:val="en-US" w:eastAsia="zh-CN" w:bidi="ar-SA"/>
        </w:rPr>
        <w:t>。目前，通过信息化跟踪手段，实现住宅区厨余垃圾溯源率为99%。厨余、其他两类垃圾处理设施均按要求配置地磅称重设施和监控设施，且运作正常，与市级平台互联互通。已安装垃圾分类投放点实时监控设备2559个，通过“视频+AI”手段对住宅区分类投放点垃圾桶不按规定外摆、垃圾桶满溢、暴露垃圾等情况识别并产生案件，上季度垃圾分类投放点的“视频+AI”案件率产生率为80.54%，“视频+AI”案件产生后，通知处理人在3小时内完成整改。</w:t>
      </w:r>
    </w:p>
    <w:p w14:paraId="49242FA8">
      <w:pPr>
        <w:pStyle w:val="9"/>
        <w:spacing w:line="540" w:lineRule="exact"/>
        <w:ind w:firstLine="630"/>
        <w:rPr>
          <w:rFonts w:hint="eastAsia" w:ascii="仿宋_GB2312" w:eastAsia="仿宋_GB2312"/>
          <w:sz w:val="32"/>
          <w:szCs w:val="32"/>
        </w:rPr>
      </w:pPr>
      <w:r>
        <w:rPr>
          <w:rFonts w:hint="eastAsia" w:ascii="仿宋_GB2312" w:hAnsi="仿宋_GB2312" w:eastAsia="仿宋_GB2312" w:cs="仿宋_GB2312"/>
          <w:sz w:val="32"/>
          <w:szCs w:val="32"/>
        </w:rPr>
        <w:t>再次感谢您对我区城市管理工作的关心和支持，恳请您继续对城市管理工作多提宝贵意见。</w:t>
      </w:r>
    </w:p>
    <w:p w14:paraId="181B8AF9">
      <w:pPr>
        <w:spacing w:line="540" w:lineRule="exact"/>
        <w:ind w:left="-359" w:leftChars="-171" w:firstLine="640" w:firstLineChars="200"/>
        <w:rPr>
          <w:rFonts w:hint="eastAsia" w:ascii="仿宋_GB2312" w:eastAsia="仿宋_GB2312"/>
          <w:sz w:val="32"/>
          <w:szCs w:val="32"/>
        </w:rPr>
      </w:pPr>
    </w:p>
    <w:p w14:paraId="00EC23A2">
      <w:pPr>
        <w:spacing w:line="540" w:lineRule="exact"/>
        <w:ind w:right="32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深圳市福田区城市管理和综合执法局</w:t>
      </w:r>
    </w:p>
    <w:p w14:paraId="7B15640C">
      <w:pPr>
        <w:spacing w:line="540" w:lineRule="exact"/>
        <w:ind w:right="320"/>
        <w:jc w:val="center"/>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val="en-US" w:eastAsia="zh-CN"/>
        </w:rPr>
        <w:t>8</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2"/>
          <w:szCs w:val="32"/>
          <w:lang w:val="en-US" w:eastAsia="zh-CN"/>
        </w:rPr>
        <w:t>15</w:t>
      </w:r>
      <w:r>
        <w:rPr>
          <w:rFonts w:hint="eastAsia" w:ascii="仿宋_GB2312" w:hAnsi="仿宋_GB2312" w:eastAsia="仿宋_GB2312" w:cs="仿宋_GB2312"/>
          <w:b w:val="0"/>
          <w:bCs w:val="0"/>
          <w:sz w:val="32"/>
          <w:szCs w:val="32"/>
        </w:rPr>
        <w:t>日</w:t>
      </w:r>
    </w:p>
    <w:p w14:paraId="1EE2DB6A">
      <w:pPr>
        <w:spacing w:line="54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（联系人：</w:t>
      </w:r>
      <w:r>
        <w:rPr>
          <w:rFonts w:hint="eastAsia" w:ascii="仿宋_GB2312" w:hAnsi="仿宋_GB2312" w:eastAsia="仿宋_GB2312" w:cs="仿宋_GB2312"/>
          <w:b w:val="0"/>
          <w:bCs w:val="0"/>
          <w:sz w:val="32"/>
          <w:szCs w:val="32"/>
          <w:lang w:val="en-US" w:eastAsia="zh-CN"/>
        </w:rPr>
        <w:t>陈世均</w:t>
      </w:r>
      <w:r>
        <w:rPr>
          <w:rFonts w:hint="eastAsia" w:ascii="仿宋_GB2312" w:hAnsi="仿宋_GB2312" w:eastAsia="仿宋_GB2312" w:cs="仿宋_GB2312"/>
          <w:b w:val="0"/>
          <w:bCs w:val="0"/>
          <w:sz w:val="32"/>
          <w:szCs w:val="32"/>
        </w:rPr>
        <w:t>，联系电话：</w:t>
      </w:r>
      <w:r>
        <w:rPr>
          <w:rFonts w:hint="eastAsia" w:ascii="仿宋_GB2312" w:hAnsi="仿宋_GB2312" w:eastAsia="仿宋_GB2312" w:cs="仿宋_GB2312"/>
          <w:b w:val="0"/>
          <w:bCs w:val="0"/>
          <w:sz w:val="32"/>
          <w:szCs w:val="32"/>
          <w:lang w:val="en-US" w:eastAsia="zh-CN"/>
        </w:rPr>
        <w:t>18938993765</w:t>
      </w:r>
      <w:r>
        <w:rPr>
          <w:rFonts w:hint="eastAsia" w:ascii="仿宋_GB2312" w:hAnsi="仿宋_GB2312" w:eastAsia="仿宋_GB2312" w:cs="仿宋_GB2312"/>
          <w:b w:val="0"/>
          <w:bCs w:val="0"/>
          <w:sz w:val="32"/>
          <w:szCs w:val="32"/>
        </w:rPr>
        <w:t>）</w:t>
      </w:r>
      <w:bookmarkStart w:id="0" w:name="_GoBack"/>
      <w:bookmarkEnd w:id="0"/>
    </w:p>
    <w:p w14:paraId="50B0C313"/>
    <w:sectPr>
      <w:headerReference r:id="rId5" w:type="first"/>
      <w:footerReference r:id="rId8" w:type="first"/>
      <w:headerReference r:id="rId3" w:type="default"/>
      <w:footerReference r:id="rId6" w:type="default"/>
      <w:headerReference r:id="rId4" w:type="even"/>
      <w:footerReference r:id="rId7" w:type="even"/>
      <w:pgSz w:w="11906" w:h="16838"/>
      <w:pgMar w:top="2098" w:right="1588" w:bottom="1985" w:left="1588" w:header="851" w:footer="1588"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B998B">
    <w:pPr>
      <w:pStyle w:val="4"/>
      <w:framePr w:wrap="around" w:vAnchor="text" w:hAnchor="margin" w:xAlign="outside" w:y="1"/>
      <w:ind w:right="420" w:rightChars="200"/>
      <w:rPr>
        <w:rStyle w:val="8"/>
        <w:rFonts w:hint="eastAsia" w:ascii="宋体" w:hAnsi="宋体"/>
        <w:sz w:val="28"/>
        <w:szCs w:val="28"/>
      </w:rPr>
    </w:pPr>
    <w:r>
      <w:rPr>
        <w:rStyle w:val="8"/>
        <w:rFonts w:hint="eastAsia" w:ascii="宋体" w:hAnsi="宋体"/>
        <w:sz w:val="28"/>
        <w:szCs w:val="28"/>
      </w:rPr>
      <w:t xml:space="preserve">― </w:t>
    </w:r>
    <w:r>
      <w:rPr>
        <w:rFonts w:ascii="宋体" w:hAnsi="宋体"/>
        <w:sz w:val="28"/>
        <w:szCs w:val="28"/>
      </w:rPr>
      <w:fldChar w:fldCharType="begin"/>
    </w:r>
    <w:r>
      <w:rPr>
        <w:rStyle w:val="8"/>
        <w:rFonts w:ascii="宋体" w:hAnsi="宋体"/>
        <w:sz w:val="28"/>
        <w:szCs w:val="28"/>
      </w:rPr>
      <w:instrText xml:space="preserve">PAGE  </w:instrText>
    </w:r>
    <w:r>
      <w:rPr>
        <w:rFonts w:ascii="宋体" w:hAnsi="宋体"/>
        <w:sz w:val="28"/>
        <w:szCs w:val="28"/>
      </w:rPr>
      <w:fldChar w:fldCharType="separate"/>
    </w:r>
    <w:r>
      <w:rPr>
        <w:rStyle w:val="8"/>
        <w:rFonts w:ascii="宋体" w:hAnsi="宋体"/>
        <w:sz w:val="28"/>
        <w:szCs w:val="28"/>
      </w:rPr>
      <w:t>3</w:t>
    </w:r>
    <w:r>
      <w:rPr>
        <w:rFonts w:ascii="宋体" w:hAnsi="宋体"/>
        <w:sz w:val="28"/>
        <w:szCs w:val="28"/>
      </w:rPr>
      <w:fldChar w:fldCharType="end"/>
    </w:r>
    <w:r>
      <w:rPr>
        <w:rStyle w:val="8"/>
        <w:rFonts w:hint="eastAsia" w:ascii="宋体" w:hAnsi="宋体"/>
        <w:sz w:val="28"/>
        <w:szCs w:val="28"/>
      </w:rPr>
      <w:t xml:space="preserve"> ―  </w:t>
    </w:r>
  </w:p>
  <w:p w14:paraId="279EEF28">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0AA4F">
    <w:pPr>
      <w:pStyle w:val="4"/>
      <w:framePr w:wrap="around" w:vAnchor="text" w:hAnchor="margin" w:xAlign="outside" w:y="1"/>
      <w:ind w:left="420" w:leftChars="200"/>
      <w:rPr>
        <w:rStyle w:val="8"/>
        <w:rFonts w:hint="eastAsia" w:ascii="宋体" w:hAnsi="宋体"/>
        <w:sz w:val="28"/>
        <w:szCs w:val="28"/>
      </w:rPr>
    </w:pPr>
    <w:r>
      <w:rPr>
        <w:rStyle w:val="8"/>
        <w:rFonts w:hint="eastAsia" w:ascii="宋体" w:hAnsi="宋体"/>
        <w:sz w:val="28"/>
        <w:szCs w:val="28"/>
      </w:rPr>
      <w:t xml:space="preserve">― </w:t>
    </w:r>
    <w:r>
      <w:rPr>
        <w:rFonts w:ascii="宋体" w:hAnsi="宋体"/>
        <w:sz w:val="28"/>
        <w:szCs w:val="28"/>
      </w:rPr>
      <w:fldChar w:fldCharType="begin"/>
    </w:r>
    <w:r>
      <w:rPr>
        <w:rStyle w:val="8"/>
        <w:rFonts w:ascii="宋体" w:hAnsi="宋体"/>
        <w:sz w:val="28"/>
        <w:szCs w:val="28"/>
      </w:rPr>
      <w:instrText xml:space="preserve">PAGE  </w:instrText>
    </w:r>
    <w:r>
      <w:rPr>
        <w:rFonts w:ascii="宋体" w:hAnsi="宋体"/>
        <w:sz w:val="28"/>
        <w:szCs w:val="28"/>
      </w:rPr>
      <w:fldChar w:fldCharType="separate"/>
    </w:r>
    <w:r>
      <w:rPr>
        <w:rStyle w:val="8"/>
        <w:rFonts w:ascii="宋体" w:hAnsi="宋体"/>
        <w:sz w:val="28"/>
        <w:szCs w:val="28"/>
      </w:rPr>
      <w:t>2</w:t>
    </w:r>
    <w:r>
      <w:rPr>
        <w:rFonts w:ascii="宋体" w:hAnsi="宋体"/>
        <w:sz w:val="28"/>
        <w:szCs w:val="28"/>
      </w:rPr>
      <w:fldChar w:fldCharType="end"/>
    </w:r>
    <w:r>
      <w:rPr>
        <w:rStyle w:val="8"/>
        <w:rFonts w:hint="eastAsia" w:ascii="宋体" w:hAnsi="宋体"/>
        <w:sz w:val="28"/>
        <w:szCs w:val="28"/>
      </w:rPr>
      <w:t xml:space="preserve"> ― </w:t>
    </w:r>
  </w:p>
  <w:p w14:paraId="3764EFDD">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C3C98">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F3297">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C9AB4">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99657">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yYzk0ODFlY2Y2NGE1MTMyNzExZTM2ZjY2Y2NkMzcifQ=="/>
  </w:docVars>
  <w:rsids>
    <w:rsidRoot w:val="51367A86"/>
    <w:rsid w:val="1721204C"/>
    <w:rsid w:val="313C50E1"/>
    <w:rsid w:val="39402633"/>
    <w:rsid w:val="51367A86"/>
    <w:rsid w:val="52217EAC"/>
    <w:rsid w:val="555E0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3"/>
    <w:basedOn w:val="1"/>
    <w:next w:val="1"/>
    <w:qFormat/>
    <w:uiPriority w:val="0"/>
    <w:pPr>
      <w:spacing w:before="100" w:beforeAutospacing="1" w:after="100" w:afterAutospacing="1"/>
      <w:jc w:val="left"/>
      <w:outlineLvl w:val="2"/>
    </w:pPr>
    <w:rPr>
      <w:rFonts w:hint="eastAsia" w:ascii="宋体" w:hAnsi="宋体" w:eastAsia="宋体" w:cs="Times New Roman"/>
      <w:b/>
      <w:kern w:val="0"/>
      <w:sz w:val="27"/>
      <w:szCs w:val="27"/>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p0"/>
    <w:basedOn w:val="1"/>
    <w:qFormat/>
    <w:uiPriority w:val="0"/>
    <w:pPr>
      <w:widowControl/>
    </w:pPr>
    <w:rPr>
      <w:kern w:val="0"/>
      <w:szCs w:val="21"/>
    </w:rPr>
  </w:style>
  <w:style w:type="paragraph" w:customStyle="1" w:styleId="10">
    <w:name w:val="p17"/>
    <w:basedOn w:val="1"/>
    <w:qFormat/>
    <w:uiPriority w:val="0"/>
    <w:pPr>
      <w:widowControl/>
      <w:ind w:firstLine="630"/>
    </w:pPr>
    <w:rPr>
      <w:rFonts w:ascii="仿宋_GB2312" w:hAnsi="宋体" w:eastAsia="仿宋_GB2312" w:cs="宋体"/>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2068</Words>
  <Characters>2144</Characters>
  <Lines>0</Lines>
  <Paragraphs>0</Paragraphs>
  <TotalTime>0</TotalTime>
  <ScaleCrop>false</ScaleCrop>
  <LinksUpToDate>false</LinksUpToDate>
  <CharactersWithSpaces>2173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2024-08-14T11:58:00Z</dcterms:created>
  <dc:creator>蓝蓝</dc:creator>
  <cp:lastModifiedBy>Admin</cp:lastModifiedBy>
  <dcterms:modified xsi:type="dcterms:W3CDTF">2024-08-19T02:29:05Z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E382A53593694184A4A3394F1B48A49E_12</vt:lpwstr>
  </property>
</Properties>
</file>