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jc w:val="center"/>
        <w:textAlignment w:val="auto"/>
        <w:outlineLvl w:val="9"/>
        <w:rPr>
          <w:rFonts w:hint="eastAsia"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福田区妇联2021年工作总结</w:t>
      </w:r>
    </w:p>
    <w:p>
      <w:pPr>
        <w:pStyle w:val="7"/>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jc w:val="center"/>
        <w:textAlignment w:val="auto"/>
        <w:outlineLvl w:val="9"/>
        <w:rPr>
          <w:rFonts w:hint="default"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及2022年工作计划</w:t>
      </w:r>
    </w:p>
    <w:p>
      <w:pPr>
        <w:pStyle w:val="7"/>
        <w:keepNext w:val="0"/>
        <w:keepLines w:val="0"/>
        <w:pageBreakBefore w:val="0"/>
        <w:widowControl/>
        <w:kinsoku/>
        <w:wordWrap/>
        <w:overflowPunct/>
        <w:topLinePunct w:val="0"/>
        <w:autoSpaceDE/>
        <w:autoSpaceDN/>
        <w:bidi w:val="0"/>
        <w:spacing w:line="560" w:lineRule="exact"/>
        <w:ind w:firstLine="480" w:firstLineChars="200"/>
        <w:jc w:val="both"/>
        <w:textAlignment w:val="auto"/>
        <w:rPr>
          <w:rFonts w:ascii="Arial" w:hAnsi="Arial" w:cs="Arial"/>
          <w:color w:val="auto"/>
          <w:sz w:val="24"/>
          <w:szCs w:val="24"/>
          <w:shd w:val="clear" w:color="040000" w:fill="FFFFFF"/>
        </w:rPr>
      </w:pPr>
    </w:p>
    <w:p>
      <w:pPr>
        <w:pStyle w:val="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200" w:right="0" w:rightChars="0" w:firstLine="321" w:firstLineChars="100"/>
        <w:jc w:val="both"/>
        <w:textAlignment w:val="auto"/>
        <w:rPr>
          <w:rFonts w:hint="eastAsia" w:ascii="黑体" w:hAnsi="黑体" w:eastAsia="黑体" w:cs="黑体"/>
          <w:b/>
          <w:bCs w:val="0"/>
          <w:color w:val="auto"/>
          <w:kern w:val="2"/>
          <w:sz w:val="32"/>
          <w:szCs w:val="32"/>
          <w:lang w:val="en-US" w:eastAsia="zh-CN" w:bidi="ar-SA"/>
        </w:rPr>
      </w:pPr>
      <w:r>
        <w:rPr>
          <w:rFonts w:hint="eastAsia" w:ascii="黑体" w:hAnsi="黑体" w:eastAsia="黑体" w:cs="黑体"/>
          <w:b/>
          <w:bCs w:val="0"/>
          <w:color w:val="auto"/>
          <w:kern w:val="2"/>
          <w:sz w:val="32"/>
          <w:szCs w:val="32"/>
          <w:lang w:val="en-US" w:eastAsia="zh-CN" w:bidi="ar-SA"/>
        </w:rPr>
        <w:t>一、2021年工作总结</w:t>
      </w:r>
    </w:p>
    <w:p>
      <w:pPr>
        <w:pStyle w:val="7"/>
        <w:keepNext w:val="0"/>
        <w:keepLines w:val="0"/>
        <w:pageBreakBefore w:val="0"/>
        <w:widowControl/>
        <w:numPr>
          <w:ilvl w:val="0"/>
          <w:numId w:val="1"/>
        </w:numPr>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eastAsia" w:ascii="楷体_GB2312" w:hAnsi="楷体_GB2312" w:eastAsia="楷体_GB2312" w:cs="楷体_GB2312"/>
          <w:b/>
          <w:bCs/>
          <w:i w:val="0"/>
          <w:color w:val="auto"/>
          <w:kern w:val="2"/>
          <w:sz w:val="32"/>
          <w:szCs w:val="32"/>
          <w:highlight w:val="none"/>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思想政治引领取得新成效</w:t>
      </w:r>
    </w:p>
    <w:p>
      <w:pPr>
        <w:pStyle w:val="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1、织密“网点”夯基础。</w:t>
      </w:r>
      <w:r>
        <w:rPr>
          <w:rFonts w:hint="eastAsia" w:ascii="仿宋_GB2312" w:hAnsi="仿宋_GB2312" w:eastAsia="仿宋_GB2312" w:cs="仿宋_GB2312"/>
          <w:color w:val="auto"/>
          <w:kern w:val="0"/>
          <w:sz w:val="32"/>
          <w:szCs w:val="32"/>
          <w:highlight w:val="none"/>
          <w:lang w:val="en-US" w:eastAsia="zh-CN"/>
        </w:rPr>
        <w:t>根据</w:t>
      </w:r>
      <w:r>
        <w:rPr>
          <w:rFonts w:hint="eastAsia" w:ascii="仿宋_GB2312" w:hAnsi="仿宋_GB2312" w:eastAsia="仿宋_GB2312" w:cs="仿宋_GB2312"/>
          <w:b w:val="0"/>
          <w:bCs w:val="0"/>
          <w:color w:val="auto"/>
          <w:kern w:val="2"/>
          <w:sz w:val="32"/>
          <w:szCs w:val="32"/>
          <w:highlight w:val="none"/>
          <w:lang w:val="en-US" w:eastAsia="zh-CN" w:bidi="ar-SA"/>
        </w:rPr>
        <w:t>《福田区妇联关于深化妇联组织建设改革实施“破难行</w:t>
      </w:r>
      <w:r>
        <w:rPr>
          <w:rFonts w:hint="eastAsia" w:ascii="仿宋_GB2312" w:hAnsi="仿宋_GB2312" w:eastAsia="仿宋_GB2312" w:cs="仿宋_GB2312"/>
          <w:color w:val="auto"/>
          <w:kern w:val="0"/>
          <w:sz w:val="32"/>
          <w:szCs w:val="32"/>
          <w:highlight w:val="none"/>
          <w:lang w:val="en-US" w:eastAsia="zh-CN"/>
        </w:rPr>
        <w:t>动”方案》，大力推动在新领域、新业态、新阶层、新群体等“四新”领域拓展妇联组织覆盖。建立妇女小组282个，“四新”领域妇女组织65家。区妇联按照“建、管、联、服”的工作思路，积极走访调研平安大厦、新一代产业园、月子会所等“四新”领域，指导开展妇女工作。成立国际创新中心楼宇妇联、红树林基金会妇联等，加强对网约车女司机、女快递员等新就业女性群体的关爱，在华强北“司机之家”建立妇女微家，在区党群服务中心“妇女之家”建立关爱女性示范点，提供家庭教育、家庭矛盾纠纷调处等关爱服务。</w:t>
      </w:r>
    </w:p>
    <w:p>
      <w:pPr>
        <w:pStyle w:val="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2、聚焦“热点”办实事。</w:t>
      </w:r>
      <w:r>
        <w:rPr>
          <w:rFonts w:hint="eastAsia" w:ascii="仿宋_GB2312" w:hAnsi="仿宋_GB2312" w:eastAsia="仿宋_GB2312" w:cs="仿宋_GB2312"/>
          <w:color w:val="auto"/>
          <w:kern w:val="0"/>
          <w:sz w:val="32"/>
          <w:szCs w:val="32"/>
          <w:highlight w:val="none"/>
          <w:lang w:val="en-US" w:eastAsia="zh-CN" w:bidi="ar-SA"/>
        </w:rPr>
        <w:t>联合先锋898举办福田区优秀女性事迹展播，</w:t>
      </w:r>
      <w:r>
        <w:rPr>
          <w:rFonts w:hint="eastAsia" w:ascii="仿宋_GB2312" w:hAnsi="仿宋_GB2312" w:eastAsia="仿宋_GB2312" w:cs="仿宋_GB2312"/>
          <w:color w:val="auto"/>
          <w:sz w:val="32"/>
          <w:szCs w:val="32"/>
          <w:lang w:val="en-US" w:eastAsia="zh-CN"/>
        </w:rPr>
        <w:t>引导并激励广大妇女勇当尖兵</w:t>
      </w:r>
      <w:r>
        <w:rPr>
          <w:rFonts w:hint="eastAsia" w:ascii="仿宋_GB2312" w:hAnsi="仿宋_GB2312" w:eastAsia="仿宋_GB2312" w:cs="仿宋_GB2312"/>
          <w:color w:val="auto"/>
          <w:kern w:val="0"/>
          <w:sz w:val="32"/>
          <w:szCs w:val="32"/>
          <w:highlight w:val="none"/>
          <w:lang w:val="en-US" w:eastAsia="zh-CN" w:bidi="ar-SA"/>
        </w:rPr>
        <w:t>；结合学党史，面向全区92个社区开展了“鹏城巾帼心向党 双区建设她力量——学党史送党课”活动100多场，参与人数达万人。开展“童心向党 礼赞百年”——福田区少年儿童“学党史·薪火传”主题活动；开展“学党史--我为群众办实事”系列活动，与公安联合开展反诈骗宣传、与交警联合在网上开展“百年百万家庭答百题”社区宣传活动，召开各街道妇联主席及各界妇女代表学习“七一”讲话座谈会。</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3、打造“亮点”强示范。</w:t>
      </w:r>
      <w:r>
        <w:rPr>
          <w:rFonts w:hint="eastAsia" w:ascii="仿宋_GB2312" w:hAnsi="仿宋_GB2312" w:eastAsia="仿宋_GB2312" w:cs="仿宋_GB2312"/>
          <w:color w:val="auto"/>
          <w:kern w:val="0"/>
          <w:sz w:val="32"/>
          <w:szCs w:val="32"/>
          <w:highlight w:val="none"/>
          <w:lang w:val="en-US" w:eastAsia="zh-CN"/>
        </w:rPr>
        <w:t>全区1727名妇联执委按行业、特长、优势领办或牵头组织开展妇女创业、家庭教育等，为所联系的妇女和家庭提供“1对1精准服务”。建立《妇女儿童维权重点个案（家暴、性侵）联动跟踪工作制度》，建立健全共同参与、规范有序的妇女儿童维权预防、处置和帮扶体系。</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right="0" w:rightChars="0" w:firstLine="643" w:firstLineChars="200"/>
        <w:jc w:val="both"/>
        <w:textAlignment w:val="auto"/>
        <w:rPr>
          <w:rFonts w:hint="eastAsia" w:ascii="楷体_GB2312" w:hAnsi="楷体_GB2312" w:eastAsia="楷体_GB2312" w:cs="楷体_GB2312"/>
          <w:b/>
          <w:bCs/>
          <w:i w:val="0"/>
          <w:color w:val="auto"/>
          <w:kern w:val="2"/>
          <w:sz w:val="32"/>
          <w:szCs w:val="32"/>
          <w:highlight w:val="none"/>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（二）维护妇女儿童权益有新突破</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right="0" w:rightChars="0" w:firstLine="643"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1、强化妇儿权益保障，紧扣需求建机制</w:t>
      </w:r>
      <w:r>
        <w:rPr>
          <w:rFonts w:hint="eastAsia" w:ascii="仿宋_GB2312" w:hAnsi="仿宋_GB2312" w:eastAsia="仿宋_GB2312" w:cs="仿宋_GB2312"/>
          <w:color w:val="auto"/>
          <w:sz w:val="32"/>
          <w:szCs w:val="32"/>
          <w:highlight w:val="none"/>
          <w:lang w:val="en-US" w:eastAsia="zh-CN"/>
        </w:rPr>
        <w:t>。今年8月底，以区委全面深化改革委员会名义出台了《关于建立健全福田区妇女儿童人身权益保</w:t>
      </w:r>
      <w:r>
        <w:rPr>
          <w:rFonts w:hint="eastAsia" w:ascii="仿宋_GB2312" w:hAnsi="仿宋_GB2312" w:eastAsia="仿宋_GB2312" w:cs="仿宋_GB2312"/>
          <w:color w:val="auto"/>
          <w:kern w:val="2"/>
          <w:sz w:val="32"/>
          <w:szCs w:val="32"/>
          <w:highlight w:val="none"/>
          <w:lang w:val="en-US" w:eastAsia="zh-CN"/>
        </w:rPr>
        <w:t>障工作机制的实施意见》，填补我区在妇女儿童权益保障工作方面制度性文件的空白，同时</w:t>
      </w:r>
      <w:r>
        <w:rPr>
          <w:rFonts w:hint="eastAsia" w:ascii="仿宋_GB2312" w:hAnsi="仿宋_GB2312" w:eastAsia="仿宋_GB2312" w:cs="仿宋_GB2312"/>
          <w:color w:val="auto"/>
          <w:kern w:val="0"/>
          <w:sz w:val="32"/>
          <w:szCs w:val="32"/>
          <w:highlight w:val="none"/>
          <w:lang w:val="en-US" w:eastAsia="zh-CN" w:bidi="ar-SA"/>
        </w:rPr>
        <w:t>根据《实施意见》</w:t>
      </w:r>
      <w:r>
        <w:rPr>
          <w:rFonts w:hint="eastAsia" w:ascii="仿宋_GB2312" w:hAnsi="宋体" w:eastAsia="仿宋_GB2312"/>
          <w:color w:val="auto"/>
          <w:sz w:val="32"/>
          <w:szCs w:val="32"/>
          <w:lang w:val="en-US" w:eastAsia="zh-CN"/>
        </w:rPr>
        <w:t>形成</w:t>
      </w:r>
      <w:r>
        <w:rPr>
          <w:rFonts w:hint="eastAsia" w:ascii="仿宋_GB2312" w:hAnsi="宋体" w:eastAsia="仿宋_GB2312"/>
          <w:color w:val="auto"/>
          <w:sz w:val="32"/>
          <w:szCs w:val="32"/>
          <w:lang w:eastAsia="zh-CN"/>
        </w:rPr>
        <w:t>《</w:t>
      </w:r>
      <w:r>
        <w:rPr>
          <w:rFonts w:hint="eastAsia" w:ascii="仿宋_GB2312" w:hAnsi="宋体" w:eastAsia="仿宋_GB2312"/>
          <w:color w:val="auto"/>
          <w:sz w:val="32"/>
          <w:szCs w:val="32"/>
          <w:lang w:val="en-US" w:eastAsia="zh-CN"/>
        </w:rPr>
        <w:t>&lt;</w:t>
      </w:r>
      <w:r>
        <w:rPr>
          <w:rFonts w:hint="eastAsia" w:ascii="仿宋_GB2312" w:hAnsi="宋体" w:eastAsia="仿宋_GB2312"/>
          <w:color w:val="auto"/>
          <w:sz w:val="32"/>
          <w:szCs w:val="32"/>
          <w:lang w:eastAsia="zh-CN"/>
        </w:rPr>
        <w:t>关于建立健全福田区妇女儿童人身权益保障工作机制的实施意见</w:t>
      </w:r>
      <w:r>
        <w:rPr>
          <w:rFonts w:hint="eastAsia" w:ascii="仿宋_GB2312" w:hAnsi="宋体" w:eastAsia="仿宋_GB2312"/>
          <w:color w:val="auto"/>
          <w:sz w:val="32"/>
          <w:szCs w:val="32"/>
          <w:lang w:val="en-US" w:eastAsia="zh-CN"/>
        </w:rPr>
        <w:t>&gt;</w:t>
      </w:r>
      <w:r>
        <w:rPr>
          <w:rFonts w:hint="eastAsia" w:ascii="仿宋_GB2312" w:hAnsi="宋体" w:eastAsia="仿宋_GB2312"/>
          <w:color w:val="auto"/>
          <w:sz w:val="32"/>
          <w:szCs w:val="32"/>
          <w:lang w:eastAsia="zh-CN"/>
        </w:rPr>
        <w:t>工作任务分解表》，扎实推进落实机制</w:t>
      </w:r>
      <w:r>
        <w:rPr>
          <w:rFonts w:hint="eastAsia" w:ascii="仿宋_GB2312" w:hAnsi="仿宋_GB2312" w:eastAsia="仿宋_GB2312" w:cs="仿宋_GB2312"/>
          <w:color w:val="auto"/>
          <w:kern w:val="0"/>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right="0" w:rightChars="0"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i w:val="0"/>
          <w:color w:val="auto"/>
          <w:kern w:val="2"/>
          <w:sz w:val="32"/>
          <w:szCs w:val="32"/>
          <w:highlight w:val="none"/>
          <w:lang w:val="en-US" w:eastAsia="zh-CN" w:bidi="ar-SA"/>
        </w:rPr>
        <w:t>2、</w:t>
      </w:r>
      <w:r>
        <w:rPr>
          <w:rFonts w:hint="eastAsia" w:ascii="仿宋_GB2312" w:hAnsi="仿宋_GB2312" w:eastAsia="仿宋_GB2312" w:cs="仿宋_GB2312"/>
          <w:b/>
          <w:bCs/>
          <w:i w:val="0"/>
          <w:caps w:val="0"/>
          <w:color w:val="auto"/>
          <w:spacing w:val="0"/>
          <w:sz w:val="32"/>
          <w:szCs w:val="32"/>
        </w:rPr>
        <w:t>培育专业维权力量，</w:t>
      </w:r>
      <w:r>
        <w:rPr>
          <w:rFonts w:hint="eastAsia" w:ascii="仿宋_GB2312" w:hAnsi="仿宋_GB2312" w:eastAsia="仿宋_GB2312" w:cs="仿宋_GB2312"/>
          <w:b/>
          <w:bCs/>
          <w:i w:val="0"/>
          <w:color w:val="auto"/>
          <w:kern w:val="2"/>
          <w:sz w:val="32"/>
          <w:szCs w:val="32"/>
          <w:highlight w:val="none"/>
          <w:lang w:val="en-US" w:eastAsia="zh-CN" w:bidi="ar-SA"/>
        </w:rPr>
        <w:t>精准发力破难题。</w:t>
      </w:r>
      <w:r>
        <w:rPr>
          <w:rFonts w:hint="eastAsia" w:ascii="仿宋_GB2312" w:hAnsi="仿宋_GB2312" w:eastAsia="仿宋_GB2312" w:cs="仿宋_GB2312"/>
          <w:color w:val="auto"/>
          <w:sz w:val="32"/>
          <w:szCs w:val="32"/>
          <w:highlight w:val="none"/>
          <w:lang w:val="en-US" w:eastAsia="zh-CN"/>
        </w:rPr>
        <w:t>制定8项妇女维权工作机制，成立全市第一个婚调委、反家庭暴力示范点、法院示范婚调室、女性就业创业服务基地、木棉红基层党建实践基地等。</w:t>
      </w:r>
      <w:r>
        <w:rPr>
          <w:rFonts w:hint="eastAsia" w:ascii="仿宋_GB2312" w:hAnsi="仿宋_GB2312" w:eastAsia="仿宋_GB2312" w:cs="仿宋_GB2312"/>
          <w:color w:val="auto"/>
          <w:kern w:val="0"/>
          <w:sz w:val="32"/>
          <w:szCs w:val="32"/>
          <w:highlight w:val="none"/>
          <w:lang w:val="en-US" w:eastAsia="zh-CN"/>
        </w:rPr>
        <w:t>截至2021年11月30日，共接待信访案件680宗，其中来电咨询579宗、来</w:t>
      </w:r>
      <w:r>
        <w:rPr>
          <w:rFonts w:hint="eastAsia" w:ascii="仿宋_GB2312" w:hAnsi="仿宋_GB2312" w:eastAsia="仿宋_GB2312" w:cs="仿宋_GB2312"/>
          <w:color w:val="auto"/>
          <w:kern w:val="2"/>
          <w:sz w:val="32"/>
          <w:szCs w:val="32"/>
          <w:highlight w:val="none"/>
          <w:lang w:val="en-US" w:eastAsia="zh-CN"/>
        </w:rPr>
        <w:t>访101宗；</w:t>
      </w:r>
      <w:r>
        <w:rPr>
          <w:rFonts w:hint="eastAsia" w:ascii="仿宋_GB2312" w:hAnsi="仿宋_GB2312" w:eastAsia="仿宋_GB2312" w:cs="仿宋_GB2312"/>
          <w:color w:val="auto"/>
          <w:kern w:val="0"/>
          <w:sz w:val="32"/>
          <w:szCs w:val="32"/>
          <w:highlight w:val="none"/>
          <w:lang w:val="en-US" w:eastAsia="zh-CN"/>
        </w:rPr>
        <w:t>婚调委共调解各类纠纷342宗，调解成功179宗。</w:t>
      </w:r>
      <w:r>
        <w:rPr>
          <w:rFonts w:hint="eastAsia" w:ascii="仿宋_GB2312" w:hAnsi="仿宋_GB2312" w:eastAsia="仿宋_GB2312" w:cs="仿宋_GB2312"/>
          <w:color w:val="auto"/>
          <w:sz w:val="32"/>
          <w:szCs w:val="32"/>
          <w:highlight w:val="none"/>
          <w:lang w:val="en-US" w:eastAsia="zh-CN"/>
        </w:rPr>
        <w:t>区妇联连续三年婚调考核每年100%达标。</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right="0" w:rightChars="0" w:firstLine="643" w:firstLineChars="200"/>
        <w:jc w:val="both"/>
        <w:textAlignment w:val="auto"/>
        <w:rPr>
          <w:rFonts w:hint="eastAsia" w:ascii="仿宋_GB2312" w:hAnsi="仿宋_GB2312" w:eastAsia="仿宋_GB2312" w:cs="仿宋_GB2312"/>
          <w:b w:val="0"/>
          <w:bCs w:val="0"/>
          <w:color w:val="auto"/>
          <w:kern w:val="44"/>
          <w:sz w:val="32"/>
          <w:szCs w:val="32"/>
          <w:lang w:val="en-US" w:eastAsia="zh-CN" w:bidi="ar-SA"/>
        </w:rPr>
      </w:pPr>
      <w:r>
        <w:rPr>
          <w:rFonts w:hint="eastAsia" w:ascii="仿宋_GB2312" w:hAnsi="仿宋_GB2312" w:eastAsia="仿宋_GB2312" w:cs="仿宋_GB2312"/>
          <w:b/>
          <w:bCs/>
          <w:color w:val="auto"/>
          <w:sz w:val="32"/>
          <w:szCs w:val="32"/>
          <w:highlight w:val="none"/>
          <w:lang w:val="en-US" w:eastAsia="zh-CN"/>
        </w:rPr>
        <w:t>3、用好智慧维权手段，触觉灵敏解新题</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率先在全市</w:t>
      </w:r>
      <w:r>
        <w:rPr>
          <w:rFonts w:hint="eastAsia" w:ascii="仿宋_GB2312" w:hAnsi="仿宋_GB2312" w:eastAsia="仿宋_GB2312" w:cs="仿宋_GB2312"/>
          <w:color w:val="auto"/>
          <w:sz w:val="32"/>
          <w:szCs w:val="32"/>
          <w:highlight w:val="none"/>
        </w:rPr>
        <w:t>完成</w:t>
      </w:r>
      <w:r>
        <w:rPr>
          <w:rFonts w:hint="eastAsia" w:ascii="仿宋_GB2312" w:hAnsi="仿宋_GB2312" w:eastAsia="仿宋_GB2312" w:cs="仿宋_GB2312"/>
          <w:color w:val="auto"/>
          <w:sz w:val="32"/>
          <w:szCs w:val="32"/>
          <w:highlight w:val="none"/>
          <w:lang w:eastAsia="zh-CN"/>
        </w:rPr>
        <w:t>家事系统</w:t>
      </w:r>
      <w:r>
        <w:rPr>
          <w:rFonts w:hint="eastAsia" w:ascii="仿宋_GB2312" w:hAnsi="仿宋_GB2312" w:eastAsia="仿宋_GB2312" w:cs="仿宋_GB2312"/>
          <w:color w:val="auto"/>
          <w:sz w:val="32"/>
          <w:szCs w:val="32"/>
          <w:highlight w:val="none"/>
        </w:rPr>
        <w:t>通用版本</w:t>
      </w:r>
      <w:r>
        <w:rPr>
          <w:rFonts w:hint="eastAsia" w:ascii="仿宋_GB2312" w:hAnsi="仿宋_GB2312" w:eastAsia="仿宋_GB2312" w:cs="仿宋_GB2312"/>
          <w:color w:val="auto"/>
          <w:sz w:val="32"/>
          <w:szCs w:val="32"/>
          <w:highlight w:val="none"/>
          <w:lang w:eastAsia="zh-CN"/>
        </w:rPr>
        <w:t>上线，</w:t>
      </w:r>
      <w:r>
        <w:rPr>
          <w:rFonts w:hint="eastAsia" w:ascii="仿宋_GB2312" w:hAnsi="仿宋_GB2312" w:eastAsia="仿宋_GB2312" w:cs="仿宋_GB2312"/>
          <w:color w:val="auto"/>
          <w:sz w:val="32"/>
          <w:szCs w:val="32"/>
          <w:highlight w:val="none"/>
        </w:rPr>
        <w:t>实现家事情感纠纷数据统计、监测分析、一图展示等“图表画像”智慧化展示。</w:t>
      </w:r>
      <w:r>
        <w:rPr>
          <w:rFonts w:hint="eastAsia" w:ascii="仿宋_GB2312" w:hAnsi="宋体" w:eastAsia="仿宋_GB2312" w:cs="宋体"/>
          <w:color w:val="auto"/>
          <w:sz w:val="32"/>
          <w:szCs w:val="32"/>
          <w:lang w:val="en-US" w:eastAsia="zh-CN"/>
        </w:rPr>
        <w:t>在8月26日全市召开推进会议上，市</w:t>
      </w:r>
      <w:r>
        <w:rPr>
          <w:rFonts w:hint="eastAsia" w:ascii="仿宋_GB2312" w:hAnsi="宋体" w:eastAsia="仿宋_GB2312" w:cs="宋体"/>
          <w:b w:val="0"/>
          <w:bCs w:val="0"/>
          <w:color w:val="auto"/>
          <w:sz w:val="32"/>
          <w:szCs w:val="32"/>
          <w:lang w:val="en-US" w:eastAsia="zh-CN"/>
        </w:rPr>
        <w:t>委常委、组织部长程步一对此给予高度评价：“福田区提前半年完成建设，已上线运行3个月，进度最快。其他区也要有这样的力度，在做好顶层设计的基础上加快建设进度”</w:t>
      </w:r>
      <w:r>
        <w:rPr>
          <w:rFonts w:hint="eastAsia" w:ascii="仿宋_GB2312" w:hAnsi="仿宋_GB2312" w:eastAsia="仿宋_GB2312" w:cs="仿宋_GB2312"/>
          <w:b w:val="0"/>
          <w:bCs w:val="0"/>
          <w:color w:val="auto"/>
          <w:kern w:val="0"/>
          <w:sz w:val="32"/>
          <w:szCs w:val="32"/>
          <w:highlight w:val="none"/>
          <w:lang w:val="en-US" w:eastAsia="zh-CN" w:bidi="ar-SA"/>
        </w:rPr>
        <w:t>。目前系统运行情况良好，共计107名用户成功登录系统，共录入</w:t>
      </w:r>
      <w:r>
        <w:rPr>
          <w:rFonts w:hint="eastAsia" w:ascii="仿宋_GB2312" w:hAnsi="仿宋_GB2312" w:eastAsia="仿宋_GB2312" w:cs="仿宋_GB2312"/>
          <w:b w:val="0"/>
          <w:bCs w:val="0"/>
          <w:color w:val="auto"/>
          <w:kern w:val="44"/>
          <w:sz w:val="32"/>
          <w:szCs w:val="32"/>
          <w:lang w:val="en-US" w:eastAsia="zh-CN" w:bidi="ar-SA"/>
        </w:rPr>
        <w:t>228宗案件,其中情感纠纷类160宗，家庭暴力类68宗，加快了信息化在矛盾纠纷调处工作中的应用。</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right="0" w:rightChars="0" w:firstLine="643" w:firstLineChars="200"/>
        <w:jc w:val="both"/>
        <w:textAlignment w:val="auto"/>
        <w:rPr>
          <w:rFonts w:hint="eastAsia" w:ascii="仿宋_GB2312" w:hAnsi="仿宋_GB2312" w:eastAsia="仿宋_GB2312" w:cs="仿宋_GB2312"/>
          <w:b w:val="0"/>
          <w:bCs/>
          <w:color w:val="auto"/>
          <w:kern w:val="0"/>
          <w:sz w:val="32"/>
          <w:szCs w:val="32"/>
          <w:highlight w:val="none"/>
          <w:lang w:val="en-US" w:eastAsia="zh-CN" w:bidi="ar-SA"/>
        </w:rPr>
      </w:pPr>
      <w:r>
        <w:rPr>
          <w:rFonts w:hint="eastAsia" w:ascii="仿宋_GB2312" w:hAnsi="仿宋_GB2312" w:eastAsia="仿宋_GB2312" w:cs="仿宋_GB2312"/>
          <w:b/>
          <w:bCs w:val="0"/>
          <w:color w:val="auto"/>
          <w:kern w:val="44"/>
          <w:sz w:val="32"/>
          <w:szCs w:val="32"/>
          <w:lang w:val="en-US" w:eastAsia="zh-CN" w:bidi="ar-SA"/>
        </w:rPr>
        <w:t>4、传播福田维权品牌，多元宣传见实效</w:t>
      </w:r>
      <w:r>
        <w:rPr>
          <w:rFonts w:hint="eastAsia" w:ascii="仿宋_GB2312" w:hAnsi="仿宋_GB2312" w:eastAsia="仿宋_GB2312" w:cs="仿宋_GB2312"/>
          <w:b w:val="0"/>
          <w:bCs/>
          <w:color w:val="auto"/>
          <w:kern w:val="44"/>
          <w:sz w:val="32"/>
          <w:szCs w:val="32"/>
          <w:lang w:val="en-US" w:eastAsia="zh-CN" w:bidi="ar-SA"/>
        </w:rPr>
        <w:t>。加大普法宣传力度，紧抓3.8妇</w:t>
      </w:r>
      <w:r>
        <w:rPr>
          <w:rFonts w:hint="eastAsia" w:ascii="仿宋_GB2312" w:hAnsi="仿宋_GB2312" w:eastAsia="仿宋_GB2312" w:cs="仿宋_GB2312"/>
          <w:b w:val="0"/>
          <w:bCs/>
          <w:color w:val="auto"/>
          <w:kern w:val="0"/>
          <w:sz w:val="32"/>
          <w:szCs w:val="32"/>
          <w:highlight w:val="none"/>
          <w:lang w:val="en-US" w:eastAsia="zh-CN" w:bidi="ar-SA"/>
        </w:rPr>
        <w:t>女节、11.25国际反家暴日、12.4国家宪法日等重要时间节点，开展普法宣传进社区，专业团队现场宣讲，接受咨询；普法宣传进地铁，在已开通运营的10条地铁线路全线循环播放反家暴宣传视频；“线上+线下”扩大宣传面，通过福田女性公众号、聚福家园网进行普法宣传，提升广大群众的法律意识。2021年区妇联被评为全国维护妇女儿童权益先进集体。</w:t>
      </w:r>
    </w:p>
    <w:p>
      <w:pPr>
        <w:pStyle w:val="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eastAsia" w:ascii="楷体_GB2312" w:hAnsi="楷体_GB2312" w:eastAsia="楷体_GB2312" w:cs="楷体_GB2312"/>
          <w:b/>
          <w:bCs/>
          <w:i w:val="0"/>
          <w:color w:val="auto"/>
          <w:kern w:val="2"/>
          <w:sz w:val="32"/>
          <w:szCs w:val="32"/>
          <w:highlight w:val="none"/>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（三）儿童友好发展跑出新速度</w:t>
      </w:r>
    </w:p>
    <w:p>
      <w:pPr>
        <w:keepNext w:val="0"/>
        <w:keepLines w:val="0"/>
        <w:pageBreakBefore w:val="0"/>
        <w:kinsoku/>
        <w:wordWrap/>
        <w:overflowPunct/>
        <w:topLinePunct w:val="0"/>
        <w:autoSpaceDE/>
        <w:autoSpaceDN/>
        <w:bidi w:val="0"/>
        <w:snapToGrid/>
        <w:spacing w:line="560" w:lineRule="exact"/>
        <w:ind w:right="0" w:rightChars="0" w:firstLine="643"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1、标准引领，儿童发展有保障。</w:t>
      </w:r>
      <w:r>
        <w:rPr>
          <w:rFonts w:hint="eastAsia" w:ascii="仿宋_GB2312" w:hAnsi="仿宋_GB2312" w:eastAsia="仿宋_GB2312" w:cs="仿宋_GB2312"/>
          <w:b w:val="0"/>
          <w:bCs w:val="0"/>
          <w:color w:val="auto"/>
          <w:kern w:val="2"/>
          <w:sz w:val="32"/>
          <w:szCs w:val="32"/>
          <w:lang w:val="en-US" w:eastAsia="zh-CN" w:bidi="ar-SA"/>
        </w:rPr>
        <w:t>发布《儿童之家建设规范》、《儿童之家服务规范》、《儿童参与工作规范》、《儿童议事会活动规范》4项内部规范，形成儿童友好城区建设可复制、可持续发展的福田模式。以绣花功夫建设一批儿童友好社区、医院、学校、图书馆、公园等61个儿童友好公共空间，母婴室114间。</w:t>
      </w:r>
    </w:p>
    <w:p>
      <w:pPr>
        <w:keepNext w:val="0"/>
        <w:keepLines w:val="0"/>
        <w:pageBreakBefore w:val="0"/>
        <w:kinsoku/>
        <w:wordWrap/>
        <w:overflowPunct/>
        <w:topLinePunct w:val="0"/>
        <w:autoSpaceDE/>
        <w:autoSpaceDN/>
        <w:bidi w:val="0"/>
        <w:snapToGrid/>
        <w:spacing w:line="560" w:lineRule="exact"/>
        <w:ind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2、精准对接，儿童服务有温度。</w:t>
      </w:r>
      <w:r>
        <w:rPr>
          <w:rFonts w:hint="eastAsia" w:ascii="仿宋_GB2312" w:hAnsi="仿宋_GB2312" w:eastAsia="仿宋_GB2312" w:cs="仿宋_GB2312"/>
          <w:b w:val="0"/>
          <w:bCs/>
          <w:color w:val="auto"/>
          <w:kern w:val="44"/>
          <w:sz w:val="32"/>
          <w:szCs w:val="32"/>
          <w:lang w:val="en-US" w:eastAsia="zh-CN" w:bidi="ar-SA"/>
        </w:rPr>
        <w:t>开展“留深为防疫，冬日暖人心”福田区趣味亲子打卡活动，环卫工人家庭、公交司机家庭、安保人员等来深建设者家庭近百户参与。对辖区80名困境儿童代表和3家特殊儿童康复机构进行关爱慰问。实施福田区跨境儿童+家庭项目，开展课业支持等六大服务，累计服务2.9万人次；为香港跨境学童提供异地同考服务13场，考试人数共计358人次。</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3、赋能参与，儿童发声有路径。</w:t>
      </w:r>
      <w:r>
        <w:rPr>
          <w:rFonts w:hint="eastAsia" w:ascii="仿宋_GB2312" w:hAnsi="仿宋_GB2312" w:eastAsia="仿宋_GB2312" w:cs="仿宋_GB2312"/>
          <w:b w:val="0"/>
          <w:bCs/>
          <w:color w:val="auto"/>
          <w:kern w:val="44"/>
          <w:sz w:val="32"/>
          <w:szCs w:val="32"/>
          <w:lang w:val="en-US" w:eastAsia="zh-CN" w:bidi="ar-SA"/>
        </w:rPr>
        <w:t>实现92个社区儿童议事会全覆盖，搭建人大代表与儿童议事员互动对话的平台；启动“我为群众办实事”系列活动之“童心向党”社区儿童议事会项目，组织92个社区围绕世界读书日、儿童党史教育等主题开展议事活动87场。</w:t>
      </w:r>
    </w:p>
    <w:p>
      <w:pPr>
        <w:keepNext w:val="0"/>
        <w:keepLines w:val="0"/>
        <w:pageBreakBefore w:val="0"/>
        <w:numPr>
          <w:ilvl w:val="0"/>
          <w:numId w:val="0"/>
        </w:numPr>
        <w:kinsoku/>
        <w:wordWrap/>
        <w:overflowPunct/>
        <w:topLinePunct w:val="0"/>
        <w:autoSpaceDE/>
        <w:autoSpaceDN/>
        <w:bidi w:val="0"/>
        <w:snapToGrid/>
        <w:spacing w:line="560" w:lineRule="exact"/>
        <w:ind w:right="0" w:rightChars="0" w:firstLine="643" w:firstLineChars="200"/>
        <w:jc w:val="both"/>
        <w:textAlignment w:val="auto"/>
        <w:rPr>
          <w:rFonts w:hint="default" w:ascii="仿宋_GB2312" w:hAnsi="仿宋_GB2312" w:eastAsia="仿宋_GB2312" w:cs="仿宋_GB2312"/>
          <w:b w:val="0"/>
          <w:bCs/>
          <w:color w:val="auto"/>
          <w:kern w:val="44"/>
          <w:sz w:val="32"/>
          <w:szCs w:val="32"/>
          <w:lang w:val="en-US" w:eastAsia="zh-CN" w:bidi="ar-SA"/>
        </w:rPr>
      </w:pPr>
      <w:r>
        <w:rPr>
          <w:rFonts w:hint="eastAsia" w:ascii="仿宋" w:hAnsi="仿宋" w:eastAsia="仿宋" w:cs="仿宋"/>
          <w:b/>
          <w:bCs/>
          <w:color w:val="auto"/>
          <w:kern w:val="0"/>
          <w:sz w:val="32"/>
          <w:szCs w:val="32"/>
          <w:lang w:val="en-US" w:eastAsia="zh-CN" w:bidi="ar"/>
        </w:rPr>
        <w:t>4、湾区携手，儿童需求有承诺。</w:t>
      </w:r>
      <w:r>
        <w:rPr>
          <w:rFonts w:hint="eastAsia" w:ascii="仿宋_GB2312" w:hAnsi="仿宋_GB2312" w:eastAsia="仿宋_GB2312" w:cs="仿宋_GB2312"/>
          <w:b w:val="0"/>
          <w:bCs/>
          <w:color w:val="auto"/>
          <w:kern w:val="44"/>
          <w:sz w:val="32"/>
          <w:szCs w:val="32"/>
          <w:lang w:val="en-US" w:eastAsia="zh-CN" w:bidi="ar-SA"/>
        </w:rPr>
        <w:t>11月20日世界儿童日以“湾区携手 共童成长”为主题，用象征儿童友好的蓝色灯光点亮深圳市福田区主要地标建筑——平安金融国际中心。我区与深圳市妇儿工委、联合国儿基会驻华办事处、深圳市妇联携手向世界发出深圳关爱儿童发展、建设儿童友好城市的承诺。</w:t>
      </w:r>
    </w:p>
    <w:p>
      <w:pPr>
        <w:pStyle w:val="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right="0" w:rightChars="0" w:firstLine="643" w:firstLineChars="200"/>
        <w:jc w:val="both"/>
        <w:textAlignment w:val="auto"/>
        <w:rPr>
          <w:rFonts w:hint="eastAsia" w:ascii="楷体_GB2312" w:hAnsi="楷体_GB2312" w:eastAsia="楷体_GB2312" w:cs="楷体_GB2312"/>
          <w:b/>
          <w:bCs/>
          <w:i w:val="0"/>
          <w:color w:val="auto"/>
          <w:kern w:val="2"/>
          <w:sz w:val="32"/>
          <w:szCs w:val="32"/>
          <w:highlight w:val="none"/>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（四）家庭文明建设迈出新步伐</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right="0" w:rightChars="0" w:firstLine="643" w:firstLineChars="200"/>
        <w:jc w:val="both"/>
        <w:textAlignment w:val="auto"/>
        <w:outlineLvl w:val="9"/>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1、弘扬“家风正”，做实家风建设。</w:t>
      </w:r>
      <w:r>
        <w:rPr>
          <w:rFonts w:hint="eastAsia" w:ascii="仿宋_GB2312" w:hAnsi="仿宋_GB2312" w:eastAsia="仿宋_GB2312" w:cs="仿宋_GB2312"/>
          <w:b w:val="0"/>
          <w:bCs/>
          <w:color w:val="auto"/>
          <w:kern w:val="44"/>
          <w:sz w:val="32"/>
          <w:szCs w:val="32"/>
          <w:lang w:val="en-US" w:eastAsia="zh-CN" w:bidi="ar-SA"/>
        </w:rPr>
        <w:t>以“颂党恩 传家风”为主题把家风家教主题宣传活动、亲子阅读活动与为群众办实事紧密结合，举办“少年心向党”党史巡展，在社区、学校、图书馆开展80多场次，累计观展人数近3万人次，征集的“唱支新歌给党听”儿童歌曲大赛作品荣获广东省一等奖。“福田区家庭智慧云学堂”直播在线观看人数突破75万人次。成立全市首支家庭文明示范队，开展百万家庭创建文明城市行动。</w:t>
      </w:r>
    </w:p>
    <w:p>
      <w:pPr>
        <w:keepNext w:val="0"/>
        <w:keepLines w:val="0"/>
        <w:pageBreakBefore w:val="0"/>
        <w:kinsoku/>
        <w:wordWrap/>
        <w:overflowPunct/>
        <w:topLinePunct w:val="0"/>
        <w:autoSpaceDE/>
        <w:autoSpaceDN/>
        <w:bidi w:val="0"/>
        <w:snapToGrid/>
        <w:spacing w:line="560" w:lineRule="exact"/>
        <w:ind w:left="0" w:leftChars="0"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2、注重“家教优”，做强家庭教育。</w:t>
      </w:r>
      <w:r>
        <w:rPr>
          <w:rFonts w:hint="eastAsia" w:ascii="仿宋_GB2312" w:hAnsi="仿宋_GB2312" w:eastAsia="仿宋_GB2312" w:cs="仿宋_GB2312"/>
          <w:b w:val="0"/>
          <w:bCs/>
          <w:color w:val="auto"/>
          <w:kern w:val="44"/>
          <w:sz w:val="32"/>
          <w:szCs w:val="32"/>
          <w:lang w:val="en-US" w:eastAsia="zh-CN" w:bidi="ar-SA"/>
        </w:rPr>
        <w:t>在10个街道成立家庭亲子阅读志愿者队伍，投放涵盖亲子关系、青春期、学习和交友等11个方面的家庭心理健康微课堂100期，开展家庭教育个案咨询服务，帮助家长提升科学育儿的意识和能力。开展“领头雁”家庭教育辅导师计划，培训家庭教育骨干队伍。举办社区家庭教育指导课程，线上线下观看人数达100多万人，社区家长学校覆盖率和规范管理率均达到100%。探索涉案未成年人家庭教育长效机制，联合区检察院、公安分局、教育局、关工委在全市率先出台《深圳市福田区关于建立“督促监护令”工作机制的实施意见（试行）》。</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3、深化“家园美”，引领向上向善。</w:t>
      </w:r>
      <w:r>
        <w:rPr>
          <w:rFonts w:hint="eastAsia" w:ascii="仿宋_GB2312" w:hAnsi="仿宋_GB2312" w:eastAsia="仿宋_GB2312" w:cs="仿宋_GB2312"/>
          <w:b w:val="0"/>
          <w:bCs/>
          <w:color w:val="auto"/>
          <w:kern w:val="44"/>
          <w:sz w:val="32"/>
          <w:szCs w:val="32"/>
          <w:lang w:val="en-US" w:eastAsia="zh-CN" w:bidi="ar-SA"/>
        </w:rPr>
        <w:t>开展“家庭幸福汇”系列活动，举办讲座200余场，惠及约5万居民群众。与区民政联合出台《福田区加强新时代婚姻家庭辅导教育工作实施方案》，福田区婚姻登记处成为深圳市首个婚姻家庭辅导服务示范点。聚焦妇女儿童家庭的重点需求，助力妇女儿童之家提升服务水平，开展“好公益 好项目 好产品”优质妇女儿童家庭公益项目推介，推介优质项目50个。常态化开展寻找最美家庭活动，推荐香蜜湖街道的姚晓英家庭、福田街道的叶松生家庭分别获评第十二届全国五好家庭、2020年全国最美家庭，莲花街道的郭丽英家庭获评2021年广东十大“最美家庭”。目前，我区共有10户家庭获得12项全国优秀家庭荣誉，数量全市最多。</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楷体_GB2312" w:hAnsi="楷体_GB2312" w:eastAsia="楷体_GB2312" w:cs="楷体_GB2312"/>
          <w:b/>
          <w:bCs/>
          <w:i w:val="0"/>
          <w:color w:val="auto"/>
          <w:kern w:val="2"/>
          <w:sz w:val="32"/>
          <w:szCs w:val="32"/>
          <w:highlight w:val="none"/>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（五）服务中心促发展开创新局面</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1、带领妇女抗击疫情有新作为。</w:t>
      </w:r>
      <w:r>
        <w:rPr>
          <w:rFonts w:hint="eastAsia" w:ascii="仿宋_GB2312" w:hAnsi="仿宋_GB2312" w:eastAsia="仿宋_GB2312" w:cs="仿宋_GB2312"/>
          <w:b w:val="0"/>
          <w:bCs/>
          <w:color w:val="auto"/>
          <w:kern w:val="44"/>
          <w:sz w:val="32"/>
          <w:szCs w:val="32"/>
          <w:lang w:val="en-US" w:eastAsia="zh-CN" w:bidi="ar-SA"/>
        </w:rPr>
        <w:t>以“线上+线下”创新科学评选、“抽查+自查”完善动态管理、“引领+分享”激活全民创建的“三+”模式，牵头组织开展“健康家园·无疫小区”评选工作。目前共评初“无疫小区”862个，其中“示范无疫小区”337个，占全部小区总数的99.1％。开设婚姻家庭和心理舒缓热线，及时处置敏感事件，全方位开展疫情期间监护缺失儿童关爱救助，妥善解决流浪女童等个案。今年5月我区一名护士长在核酸检测现场因劳累过度晕倒，按黄伟书记指示，妇联牵头慰问一线核酸检测医护人员，妇联利用两天时间筹措物资，以最快速度慰问10个街道一线核酸检测点的医护人员。</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2、优化妇儿发展环境有新突破。</w:t>
      </w:r>
      <w:r>
        <w:rPr>
          <w:rFonts w:hint="eastAsia" w:ascii="仿宋_GB2312" w:hAnsi="仿宋_GB2312" w:eastAsia="仿宋_GB2312" w:cs="仿宋_GB2312"/>
          <w:b w:val="0"/>
          <w:bCs/>
          <w:color w:val="auto"/>
          <w:kern w:val="44"/>
          <w:sz w:val="32"/>
          <w:szCs w:val="32"/>
          <w:lang w:val="en-US" w:eastAsia="zh-CN" w:bidi="ar-SA"/>
        </w:rPr>
        <w:t>圆满收官《深圳市妇女儿童发展规划（2011-2020年）》实施工作，144项指标全部达到终期目标，达标率为100%，位居全市第一；在全市首创妇女儿童发展指标评价体系，将144项指标数据由单一表格转化成可视化曲线图，动态梳理分析10年间发展态势。赴杭州、南京等地学习妇女儿童活动中心建设工作经验，并充分调研论证区群众文化中心妇女儿童活动场地的功能设置，科学设计民意调查问卷征集线上问卷样本，为即将投入的妇女儿童活动中心高质量运营提供有力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3、支持妇女成长成才有新进展。</w:t>
      </w:r>
      <w:r>
        <w:rPr>
          <w:rFonts w:hint="eastAsia" w:ascii="仿宋_GB2312" w:hAnsi="仿宋_GB2312" w:eastAsia="仿宋_GB2312" w:cs="仿宋_GB2312"/>
          <w:b w:val="0"/>
          <w:bCs/>
          <w:color w:val="auto"/>
          <w:kern w:val="44"/>
          <w:sz w:val="32"/>
          <w:szCs w:val="32"/>
          <w:lang w:val="en-US" w:eastAsia="zh-CN" w:bidi="ar-SA"/>
        </w:rPr>
        <w:t>目前共创建各级巾帼文明岗786个，其中全国巾帼文明岗5个、广东省巾帼文明岗98个、深圳市巾帼文明岗251个、区级巾帼文明岗436个。2016年至今，全国、省、市级三八红旗手24人。按照省市妇联及区委组织部关于开展社区妇联换届的工作要求，率先全市完成社区妇联换届工作，全区92个社区产生新一届妇联执委1386名，新任妇联主席92名，新任妇联主席中，由社区两委委员兼任的比例达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1" w:firstLineChars="100"/>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 xml:space="preserve">  4、搭建女性交友平台有新举措。</w:t>
      </w:r>
      <w:r>
        <w:rPr>
          <w:rFonts w:hint="eastAsia" w:ascii="仿宋_GB2312" w:hAnsi="仿宋_GB2312" w:eastAsia="仿宋_GB2312" w:cs="仿宋_GB2312"/>
          <w:b w:val="0"/>
          <w:bCs/>
          <w:color w:val="auto"/>
          <w:kern w:val="44"/>
          <w:sz w:val="32"/>
          <w:szCs w:val="32"/>
          <w:lang w:val="en-US" w:eastAsia="zh-CN" w:bidi="ar-SA"/>
        </w:rPr>
        <w:t>升级“福田鹊桥”品牌，创新开展线上线下交友活动，以兴趣爱好为导向的交友方式，开展“书香情浓 为你吟诵”书巢交友活动、“情满福田 谱写爱情诗”歌巢等交友活动，融合庆祝建党百年，激励青年新征程上共圆家庭的幸福梦，同时通过户外攀岩、吟诵诗词等形式增强活动互动性，使单身朋友趣味交友，快乐脱单。在疫情反复期间开展线上交友活动，邀请情感导师在线开设福田婚姻家庭幸福吧课堂，引导青年树立正确婚恋观，吸引了福田机关工作人员、医务工作者、教师及金融、科技等各行各业青年上万人次参与，促成牵手百余对，打破福田单身交友难题，为广大企业留住人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黑体" w:hAnsi="黑体" w:eastAsia="黑体" w:cs="黑体"/>
          <w:b/>
          <w:bCs w:val="0"/>
          <w:color w:val="auto"/>
          <w:kern w:val="2"/>
          <w:sz w:val="32"/>
          <w:szCs w:val="32"/>
          <w:highlight w:val="none"/>
          <w:lang w:val="en-US" w:eastAsia="zh-CN" w:bidi="ar-SA"/>
        </w:rPr>
      </w:pPr>
      <w:r>
        <w:rPr>
          <w:rFonts w:hint="eastAsia" w:ascii="黑体" w:hAnsi="黑体" w:eastAsia="黑体" w:cs="黑体"/>
          <w:b/>
          <w:bCs w:val="0"/>
          <w:color w:val="auto"/>
          <w:kern w:val="2"/>
          <w:sz w:val="32"/>
          <w:szCs w:val="32"/>
          <w:highlight w:val="none"/>
          <w:lang w:val="en-US" w:eastAsia="zh-CN" w:bidi="ar-SA"/>
        </w:rPr>
        <w:t>二、问题和挑战</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（一）工作领域不断扩大。</w:t>
      </w:r>
      <w:r>
        <w:rPr>
          <w:rFonts w:hint="eastAsia" w:ascii="仿宋_GB2312" w:hAnsi="仿宋_GB2312" w:eastAsia="仿宋_GB2312" w:cs="仿宋_GB2312"/>
          <w:b w:val="0"/>
          <w:bCs/>
          <w:color w:val="auto"/>
          <w:kern w:val="44"/>
          <w:sz w:val="32"/>
          <w:szCs w:val="32"/>
          <w:lang w:val="en-US" w:eastAsia="zh-CN" w:bidi="ar-SA"/>
        </w:rPr>
        <w:t>随着经济发展,新兴行业、职业越来越多,来深建设者、自由职业者越来越多妇联工作对象更加广泛、分散和多元，妇联组织建设和服务亟待覆盖新领域妇女组织。</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（二）工作内容日趋复杂。</w:t>
      </w:r>
      <w:r>
        <w:rPr>
          <w:rFonts w:hint="eastAsia" w:ascii="仿宋_GB2312" w:hAnsi="仿宋_GB2312" w:eastAsia="仿宋_GB2312" w:cs="仿宋_GB2312"/>
          <w:b w:val="0"/>
          <w:bCs/>
          <w:color w:val="auto"/>
          <w:kern w:val="44"/>
          <w:sz w:val="32"/>
          <w:szCs w:val="32"/>
          <w:lang w:val="en-US" w:eastAsia="zh-CN" w:bidi="ar-SA"/>
        </w:rPr>
        <w:t>流动女性人口问题、特困女性群体问题；家庭暴力等社会现象呈上升趋势，妇女权益受侵害的个案时有发生；三胎政策开放后，女性最担心的“职场歧视”不可避免。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楷体_GB2312" w:hAnsi="楷体_GB2312" w:eastAsia="楷体_GB2312" w:cs="楷体_GB2312"/>
          <w:b/>
          <w:bCs/>
          <w:i w:val="0"/>
          <w:color w:val="auto"/>
          <w:kern w:val="2"/>
          <w:sz w:val="32"/>
          <w:szCs w:val="32"/>
          <w:highlight w:val="none"/>
          <w:lang w:val="en-US" w:eastAsia="zh-CN" w:bidi="ar-SA"/>
        </w:rPr>
      </w:pPr>
      <w:r>
        <w:rPr>
          <w:rFonts w:hint="eastAsia" w:ascii="黑体" w:hAnsi="黑体" w:eastAsia="黑体" w:cs="黑体"/>
          <w:b/>
          <w:bCs w:val="0"/>
          <w:color w:val="auto"/>
          <w:kern w:val="2"/>
          <w:sz w:val="32"/>
          <w:szCs w:val="32"/>
          <w:highlight w:val="none"/>
          <w:lang w:val="en-US" w:eastAsia="zh-CN" w:bidi="ar-SA"/>
        </w:rPr>
        <w:t>三、2022年工作计划</w:t>
      </w:r>
    </w:p>
    <w:p>
      <w:pPr>
        <w:pStyle w:val="7"/>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楷体_GB2312" w:hAnsi="楷体_GB2312" w:eastAsia="楷体_GB2312" w:cs="楷体_GB2312"/>
          <w:b/>
          <w:bCs/>
          <w:i w:val="0"/>
          <w:color w:val="auto"/>
          <w:kern w:val="2"/>
          <w:sz w:val="32"/>
          <w:szCs w:val="32"/>
          <w:highlight w:val="none"/>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以岗位建功助推高质量发展</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1、构建福田特色妇女发展体系。</w:t>
      </w:r>
      <w:r>
        <w:rPr>
          <w:rFonts w:hint="eastAsia" w:ascii="仿宋_GB2312" w:hAnsi="仿宋_GB2312" w:eastAsia="仿宋_GB2312" w:cs="仿宋_GB2312"/>
          <w:b w:val="0"/>
          <w:bCs/>
          <w:color w:val="auto"/>
          <w:kern w:val="44"/>
          <w:sz w:val="32"/>
          <w:szCs w:val="32"/>
          <w:lang w:val="en-US" w:eastAsia="zh-CN" w:bidi="ar-SA"/>
        </w:rPr>
        <w:t>高标准编制和实施新一轮妇女儿童发展规划，在构建中心区特色妇女儿童指标中先行先试，充分展示妇女在社会生活和家庭生活中发挥的独特作用及儿童优先的城区环境。</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2、激发福田女性创新创业活力。</w:t>
      </w:r>
      <w:r>
        <w:rPr>
          <w:rFonts w:hint="eastAsia" w:ascii="仿宋_GB2312" w:hAnsi="仿宋_GB2312" w:eastAsia="仿宋_GB2312" w:cs="仿宋_GB2312"/>
          <w:b w:val="0"/>
          <w:bCs/>
          <w:color w:val="auto"/>
          <w:kern w:val="44"/>
          <w:sz w:val="32"/>
          <w:szCs w:val="32"/>
          <w:lang w:val="en-US" w:eastAsia="zh-CN" w:bidi="ar-SA"/>
        </w:rPr>
        <w:t>聚焦三大新引擎，突出“三大产业”，深入开展“巾帼心向党·奋斗新征程”主题活动，推动岗位文明建设和</w:t>
      </w:r>
      <w:r>
        <w:rPr>
          <w:rFonts w:hint="default" w:ascii="仿宋_GB2312" w:hAnsi="仿宋_GB2312" w:eastAsia="仿宋_GB2312" w:cs="仿宋_GB2312"/>
          <w:b w:val="0"/>
          <w:bCs/>
          <w:color w:val="auto"/>
          <w:kern w:val="44"/>
          <w:sz w:val="32"/>
          <w:szCs w:val="32"/>
          <w:lang w:val="en-US" w:eastAsia="zh-CN" w:bidi="ar-SA"/>
        </w:rPr>
        <w:t>巾帼建功</w:t>
      </w:r>
      <w:r>
        <w:rPr>
          <w:rFonts w:hint="eastAsia" w:ascii="仿宋_GB2312" w:hAnsi="仿宋_GB2312" w:eastAsia="仿宋_GB2312" w:cs="仿宋_GB2312"/>
          <w:b w:val="0"/>
          <w:bCs/>
          <w:color w:val="auto"/>
          <w:kern w:val="44"/>
          <w:sz w:val="32"/>
          <w:szCs w:val="32"/>
          <w:lang w:val="en-US" w:eastAsia="zh-CN" w:bidi="ar-SA"/>
        </w:rPr>
        <w:t>；为福田创业女性搭建敢创业、能创业、创成业的“一站式”服务。</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b w:val="0"/>
          <w:bCs/>
          <w:color w:val="auto"/>
          <w:kern w:val="44"/>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3、深入实施科技创新巾帼行动。</w:t>
      </w:r>
      <w:r>
        <w:rPr>
          <w:rFonts w:hint="eastAsia" w:ascii="仿宋_GB2312" w:hAnsi="仿宋_GB2312" w:eastAsia="仿宋_GB2312" w:cs="仿宋_GB2312"/>
          <w:b w:val="0"/>
          <w:bCs/>
          <w:color w:val="auto"/>
          <w:kern w:val="44"/>
          <w:sz w:val="32"/>
          <w:szCs w:val="32"/>
          <w:lang w:val="en-US" w:eastAsia="zh-CN" w:bidi="ar-SA"/>
        </w:rPr>
        <w:t>强化女性科技人才引领服务，开展“最美巾帼科技工作者”选树宣传活动，在主流媒体、新媒体广泛推送“最美巾帼科技工作者”的感人事迹，在加快实现科技自立自强中充分展现巾帼担当。</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楷体_GB2312" w:hAnsi="楷体_GB2312" w:eastAsia="楷体_GB2312" w:cs="楷体_GB2312"/>
          <w:b/>
          <w:bCs/>
          <w:i w:val="0"/>
          <w:color w:val="auto"/>
          <w:kern w:val="2"/>
          <w:sz w:val="32"/>
          <w:szCs w:val="32"/>
          <w:highlight w:val="none"/>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（二）以智慧维权助力现代化治理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kern w:val="2"/>
          <w:sz w:val="32"/>
          <w:szCs w:val="32"/>
          <w:lang w:val="en-US" w:eastAsia="zh-CN" w:bidi="ar-SA"/>
        </w:rPr>
        <w:t>1、创新机制，筑牢妇儿维权“防火墙”。</w:t>
      </w:r>
      <w:r>
        <w:rPr>
          <w:rFonts w:hint="eastAsia" w:ascii="仿宋_GB2312" w:hAnsi="仿宋_GB2312" w:eastAsia="仿宋_GB2312" w:cs="仿宋_GB2312"/>
          <w:color w:val="auto"/>
          <w:sz w:val="32"/>
          <w:szCs w:val="32"/>
          <w:highlight w:val="none"/>
          <w:lang w:val="en-US" w:eastAsia="zh-CN"/>
        </w:rPr>
        <w:t>深入实施我区首个全面涉及妇女儿童人身权益保障工作意见，强化对重点人群尤其困境妇女儿童、高危发案隐患家庭等人群重点关注，派专人负责建档立册、密切跟进服务。</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lang w:val="en-US" w:eastAsia="zh-CN" w:bidi="ar-SA"/>
        </w:rPr>
        <w:t>2、专业维权，撑起妇儿维权“保护伞”。</w:t>
      </w:r>
      <w:r>
        <w:rPr>
          <w:rFonts w:hint="eastAsia" w:ascii="仿宋_GB2312" w:hAnsi="仿宋_GB2312" w:eastAsia="仿宋_GB2312" w:cs="仿宋_GB2312"/>
          <w:color w:val="auto"/>
          <w:kern w:val="2"/>
          <w:sz w:val="32"/>
          <w:szCs w:val="32"/>
          <w:highlight w:val="none"/>
          <w:lang w:val="en-US" w:eastAsia="zh-CN" w:bidi="ar-SA"/>
        </w:rPr>
        <w:t>引入具有心理学、社会学和法学等多方面知识的专业人士作为家事调解员参与家事纠纷调解工作。全区推广舒心驿站，提供心理辅导、情绪疏解、家庭关系调适等心理健康服务。</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lang w:val="en-US" w:eastAsia="zh-CN" w:bidi="ar-SA"/>
        </w:rPr>
        <w:t>3、智慧调解，打造妇儿维权“全链条”。</w:t>
      </w:r>
      <w:r>
        <w:rPr>
          <w:rFonts w:hint="eastAsia" w:ascii="仿宋_GB2312" w:hAnsi="仿宋_GB2312" w:eastAsia="仿宋_GB2312" w:cs="仿宋_GB2312"/>
          <w:color w:val="auto"/>
          <w:kern w:val="2"/>
          <w:sz w:val="32"/>
          <w:szCs w:val="32"/>
          <w:highlight w:val="none"/>
          <w:lang w:val="en-US" w:eastAsia="zh-CN" w:bidi="ar-SA"/>
        </w:rPr>
        <w:t>强化大数据在社会治理工作中的运用，全力推进提升情感家事纠纷智慧调处平台建设，实现妇女儿童保护“全过程数字化记录、全流程信息化查办”，打造妇女儿童“智慧”维权先行示范样本。</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楷体_GB2312" w:hAnsi="楷体_GB2312" w:eastAsia="楷体_GB2312" w:cs="楷体_GB2312"/>
          <w:b/>
          <w:bCs/>
          <w:i w:val="0"/>
          <w:color w:val="auto"/>
          <w:kern w:val="2"/>
          <w:sz w:val="32"/>
          <w:szCs w:val="32"/>
          <w:highlight w:val="none"/>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（三）以儿童友好完善公共服务</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lang w:val="en-US" w:eastAsia="zh-CN" w:bidi="ar-SA"/>
        </w:rPr>
        <w:t>1、打造儿童友好服务矩阵。</w:t>
      </w:r>
      <w:r>
        <w:rPr>
          <w:rFonts w:hint="eastAsia" w:ascii="仿宋_GB2312" w:hAnsi="仿宋_GB2312" w:eastAsia="仿宋_GB2312" w:cs="仿宋_GB2312"/>
          <w:color w:val="auto"/>
          <w:kern w:val="2"/>
          <w:sz w:val="32"/>
          <w:szCs w:val="32"/>
          <w:highlight w:val="none"/>
          <w:lang w:val="en-US" w:eastAsia="zh-CN" w:bidi="ar-SA"/>
        </w:rPr>
        <w:t>坚持从一米高度看城市，加强标准制定和实例打造，建设儿童友好型示范城区。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kern w:val="2"/>
          <w:sz w:val="32"/>
          <w:szCs w:val="32"/>
          <w:lang w:val="en-US" w:eastAsia="zh-CN" w:bidi="ar-SA"/>
        </w:rPr>
        <w:t>2、推进儿童参与社会治理。</w:t>
      </w:r>
      <w:r>
        <w:rPr>
          <w:rFonts w:hint="eastAsia" w:ascii="仿宋_GB2312" w:hAnsi="仿宋_GB2312" w:eastAsia="仿宋_GB2312" w:cs="仿宋_GB2312"/>
          <w:color w:val="auto"/>
          <w:sz w:val="32"/>
          <w:szCs w:val="32"/>
          <w:highlight w:val="none"/>
          <w:lang w:val="en-US" w:eastAsia="zh-CN"/>
        </w:rPr>
        <w:t>探索人大代表、政协委员或党代表与社区儿童小议事员们共同参与社区治理机制，将儿童议事会做成全国品牌。</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lang w:val="en-US" w:eastAsia="zh-CN" w:bidi="ar-SA"/>
        </w:rPr>
        <w:t>3、开展儿童标准化公共服务。</w:t>
      </w:r>
      <w:r>
        <w:rPr>
          <w:rFonts w:hint="eastAsia" w:ascii="仿宋_GB2312" w:hAnsi="仿宋_GB2312" w:eastAsia="仿宋_GB2312" w:cs="仿宋_GB2312"/>
          <w:color w:val="auto"/>
          <w:kern w:val="2"/>
          <w:sz w:val="32"/>
          <w:szCs w:val="32"/>
          <w:highlight w:val="none"/>
          <w:lang w:val="en-US" w:eastAsia="zh-CN" w:bidi="ar-SA"/>
        </w:rPr>
        <w:t>高站位研制地方标准，与市妇联共同研制《儿童友好公共服务体系建设指南》，弥补国内儿童友好公共服务体系标准的空缺。</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楷体_GB2312" w:hAnsi="楷体_GB2312" w:eastAsia="楷体_GB2312" w:cs="楷体_GB2312"/>
          <w:b/>
          <w:bCs/>
          <w:i w:val="0"/>
          <w:color w:val="auto"/>
          <w:kern w:val="2"/>
          <w:sz w:val="32"/>
          <w:szCs w:val="32"/>
          <w:highlight w:val="none"/>
          <w:lang w:val="en-US" w:eastAsia="zh-CN" w:bidi="ar-SA"/>
        </w:rPr>
      </w:pPr>
      <w:r>
        <w:rPr>
          <w:rFonts w:hint="eastAsia" w:ascii="楷体_GB2312" w:hAnsi="楷体_GB2312" w:eastAsia="楷体_GB2312" w:cs="楷体_GB2312"/>
          <w:b/>
          <w:bCs/>
          <w:i w:val="0"/>
          <w:color w:val="auto"/>
          <w:kern w:val="2"/>
          <w:sz w:val="32"/>
          <w:szCs w:val="32"/>
          <w:highlight w:val="none"/>
          <w:lang w:val="en-US" w:eastAsia="zh-CN" w:bidi="ar-SA"/>
        </w:rPr>
        <w:t>（四）以家风建设支撑高度文明</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lang w:val="en-US" w:eastAsia="zh-CN" w:bidi="ar-SA"/>
        </w:rPr>
        <w:t>1、规范标准，建好服务网络体系。</w:t>
      </w:r>
      <w:r>
        <w:rPr>
          <w:rFonts w:hint="eastAsia" w:ascii="仿宋_GB2312" w:hAnsi="仿宋_GB2312" w:eastAsia="仿宋_GB2312" w:cs="仿宋_GB2312"/>
          <w:color w:val="auto"/>
          <w:kern w:val="2"/>
          <w:sz w:val="32"/>
          <w:szCs w:val="32"/>
          <w:highlight w:val="none"/>
          <w:lang w:val="en-US" w:eastAsia="zh-CN" w:bidi="ar-SA"/>
        </w:rPr>
        <w:t>发挥社区妇女之家、社区家长学校等基层阵地的作用，制定《福田区社区家长学校标准化体系》。</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lang w:val="en-US" w:eastAsia="zh-CN" w:bidi="ar-SA"/>
        </w:rPr>
        <w:t>2、打造精品，开展“六个一”活动。</w:t>
      </w:r>
      <w:r>
        <w:rPr>
          <w:rFonts w:hint="eastAsia" w:ascii="仿宋_GB2312" w:hAnsi="仿宋_GB2312" w:eastAsia="仿宋_GB2312" w:cs="仿宋_GB2312"/>
          <w:color w:val="auto"/>
          <w:kern w:val="2"/>
          <w:sz w:val="32"/>
          <w:szCs w:val="32"/>
          <w:highlight w:val="none"/>
          <w:lang w:val="en-US" w:eastAsia="zh-CN" w:bidi="ar-SA"/>
        </w:rPr>
        <w:t>打造一批家教家风实践基地，优化一批家教家风品牌项目，建立一个家庭建设专家智库，培育一支家庭顾问队伍，建立一个妇女儿童家庭服务项目库，选树一批家庭先进典型。</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lang w:val="en-US" w:eastAsia="zh-CN" w:bidi="ar-SA"/>
        </w:rPr>
        <w:t>3、典型带动，唱响家庭文明旋律。</w:t>
      </w:r>
      <w:r>
        <w:rPr>
          <w:rFonts w:hint="eastAsia" w:ascii="仿宋_GB2312" w:hAnsi="仿宋_GB2312" w:eastAsia="仿宋_GB2312" w:cs="仿宋_GB2312"/>
          <w:color w:val="auto"/>
          <w:kern w:val="2"/>
          <w:sz w:val="32"/>
          <w:szCs w:val="32"/>
          <w:highlight w:val="none"/>
          <w:lang w:val="en-US" w:eastAsia="zh-CN" w:bidi="ar-SA"/>
        </w:rPr>
        <w:t>通过常态化推进寻找“最美家庭”等家庭文明建设活动、加强新时代婚姻家庭辅导教育工作等举措，着力弘扬家庭美德、铸就女性进步自强的精神品格。</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uXW5UtAAAAAF&#10;AQAADwAAAAAAAAABACAAAAAiAAAAZHJzL2Rvd25yZXYueG1sUEsBAhQAFAAAAAgAh07iQGr/N9uy&#10;AQAASgMAAA4AAAAAAAAAAQAgAAAAHwEAAGRycy9lMm9Eb2MueG1sUEsFBgAAAAAGAAYAWQEAAEMF&#10;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B90587"/>
    <w:multiLevelType w:val="singleLevel"/>
    <w:tmpl w:val="92B90587"/>
    <w:lvl w:ilvl="0" w:tentative="0">
      <w:start w:val="1"/>
      <w:numFmt w:val="chineseCounting"/>
      <w:suff w:val="nothing"/>
      <w:lvlText w:val="（%1）"/>
      <w:lvlJc w:val="left"/>
      <w:rPr>
        <w:rFonts w:hint="eastAsia"/>
      </w:rPr>
    </w:lvl>
  </w:abstractNum>
  <w:abstractNum w:abstractNumId="1">
    <w:nsid w:val="53DCF8DD"/>
    <w:multiLevelType w:val="singleLevel"/>
    <w:tmpl w:val="53DCF8D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A174F0"/>
    <w:rsid w:val="00E359FB"/>
    <w:rsid w:val="01100CA3"/>
    <w:rsid w:val="026510AA"/>
    <w:rsid w:val="027A0364"/>
    <w:rsid w:val="02F35B89"/>
    <w:rsid w:val="033132CE"/>
    <w:rsid w:val="05BF54DD"/>
    <w:rsid w:val="05CB7135"/>
    <w:rsid w:val="06783816"/>
    <w:rsid w:val="078157A3"/>
    <w:rsid w:val="096B2DC3"/>
    <w:rsid w:val="09A72814"/>
    <w:rsid w:val="09FA2F96"/>
    <w:rsid w:val="0AE46A06"/>
    <w:rsid w:val="0B7763B8"/>
    <w:rsid w:val="0D224D89"/>
    <w:rsid w:val="0D2D2EA8"/>
    <w:rsid w:val="0E427201"/>
    <w:rsid w:val="0E957135"/>
    <w:rsid w:val="0F252B6F"/>
    <w:rsid w:val="0FC84548"/>
    <w:rsid w:val="102D0504"/>
    <w:rsid w:val="10550753"/>
    <w:rsid w:val="105E0214"/>
    <w:rsid w:val="10734806"/>
    <w:rsid w:val="10E31F37"/>
    <w:rsid w:val="11C22833"/>
    <w:rsid w:val="11E120B2"/>
    <w:rsid w:val="13082EB7"/>
    <w:rsid w:val="138E62EE"/>
    <w:rsid w:val="13E6589D"/>
    <w:rsid w:val="1568588A"/>
    <w:rsid w:val="15E4678E"/>
    <w:rsid w:val="16716702"/>
    <w:rsid w:val="17870C2B"/>
    <w:rsid w:val="17F41F58"/>
    <w:rsid w:val="18125E6A"/>
    <w:rsid w:val="184F6EDB"/>
    <w:rsid w:val="186A3C47"/>
    <w:rsid w:val="188B368E"/>
    <w:rsid w:val="18A174F0"/>
    <w:rsid w:val="18B238D3"/>
    <w:rsid w:val="18B516BF"/>
    <w:rsid w:val="19752C9B"/>
    <w:rsid w:val="1B904B3C"/>
    <w:rsid w:val="1BCC29CB"/>
    <w:rsid w:val="1C1B3880"/>
    <w:rsid w:val="1C3C096F"/>
    <w:rsid w:val="1C4B3E92"/>
    <w:rsid w:val="1C531578"/>
    <w:rsid w:val="1C6C468C"/>
    <w:rsid w:val="1D947BC0"/>
    <w:rsid w:val="1E924C69"/>
    <w:rsid w:val="1FA36BB1"/>
    <w:rsid w:val="1FF028DD"/>
    <w:rsid w:val="206C1DDE"/>
    <w:rsid w:val="2169089D"/>
    <w:rsid w:val="21E2235E"/>
    <w:rsid w:val="221B71FC"/>
    <w:rsid w:val="22B54CBD"/>
    <w:rsid w:val="22E30AD5"/>
    <w:rsid w:val="23A90F39"/>
    <w:rsid w:val="240B0D6A"/>
    <w:rsid w:val="25087C71"/>
    <w:rsid w:val="257214E5"/>
    <w:rsid w:val="26D6235F"/>
    <w:rsid w:val="27FF38B8"/>
    <w:rsid w:val="295065AB"/>
    <w:rsid w:val="2A976C0A"/>
    <w:rsid w:val="2AAF495E"/>
    <w:rsid w:val="2B5C10C1"/>
    <w:rsid w:val="2C276321"/>
    <w:rsid w:val="2C394F21"/>
    <w:rsid w:val="2C476449"/>
    <w:rsid w:val="2C8F7D81"/>
    <w:rsid w:val="2C901FE0"/>
    <w:rsid w:val="2D387758"/>
    <w:rsid w:val="2E5605E1"/>
    <w:rsid w:val="2E6605AB"/>
    <w:rsid w:val="2E7C6AA1"/>
    <w:rsid w:val="2EA02A2E"/>
    <w:rsid w:val="2F297BAD"/>
    <w:rsid w:val="2F74442B"/>
    <w:rsid w:val="2FCB7992"/>
    <w:rsid w:val="30D609D7"/>
    <w:rsid w:val="312268BB"/>
    <w:rsid w:val="3287550D"/>
    <w:rsid w:val="33204606"/>
    <w:rsid w:val="33BA7A09"/>
    <w:rsid w:val="33F25660"/>
    <w:rsid w:val="349E0533"/>
    <w:rsid w:val="34A57A5E"/>
    <w:rsid w:val="34CD5552"/>
    <w:rsid w:val="34E17585"/>
    <w:rsid w:val="36685ABB"/>
    <w:rsid w:val="36686EB3"/>
    <w:rsid w:val="3718524F"/>
    <w:rsid w:val="375B6547"/>
    <w:rsid w:val="3832038E"/>
    <w:rsid w:val="38781147"/>
    <w:rsid w:val="38AA7A58"/>
    <w:rsid w:val="39433FC3"/>
    <w:rsid w:val="39A552F2"/>
    <w:rsid w:val="3A911A14"/>
    <w:rsid w:val="3B161CCD"/>
    <w:rsid w:val="3B356D5C"/>
    <w:rsid w:val="3BAB4F55"/>
    <w:rsid w:val="3BC350A0"/>
    <w:rsid w:val="3BF17554"/>
    <w:rsid w:val="3D24656E"/>
    <w:rsid w:val="3D39452B"/>
    <w:rsid w:val="3DBA234D"/>
    <w:rsid w:val="3F3E31A2"/>
    <w:rsid w:val="40061B52"/>
    <w:rsid w:val="4045164C"/>
    <w:rsid w:val="4064186A"/>
    <w:rsid w:val="409B57FD"/>
    <w:rsid w:val="40B05B54"/>
    <w:rsid w:val="40BE470A"/>
    <w:rsid w:val="40E43422"/>
    <w:rsid w:val="41136E92"/>
    <w:rsid w:val="4173294C"/>
    <w:rsid w:val="41AF3752"/>
    <w:rsid w:val="42A05205"/>
    <w:rsid w:val="43204610"/>
    <w:rsid w:val="451C2854"/>
    <w:rsid w:val="45D17959"/>
    <w:rsid w:val="45D76EB5"/>
    <w:rsid w:val="45DF5507"/>
    <w:rsid w:val="45E22DAE"/>
    <w:rsid w:val="470063DB"/>
    <w:rsid w:val="48121242"/>
    <w:rsid w:val="48350A8B"/>
    <w:rsid w:val="48730C83"/>
    <w:rsid w:val="48FB0713"/>
    <w:rsid w:val="494B18B8"/>
    <w:rsid w:val="495D1B89"/>
    <w:rsid w:val="4A630E0B"/>
    <w:rsid w:val="4B094D4E"/>
    <w:rsid w:val="4B260DDE"/>
    <w:rsid w:val="4B490B3A"/>
    <w:rsid w:val="4B5914DF"/>
    <w:rsid w:val="4B715DF1"/>
    <w:rsid w:val="4C42508A"/>
    <w:rsid w:val="4C6754BF"/>
    <w:rsid w:val="4D6F461D"/>
    <w:rsid w:val="4D884F99"/>
    <w:rsid w:val="4F5E686C"/>
    <w:rsid w:val="50450502"/>
    <w:rsid w:val="504D5692"/>
    <w:rsid w:val="50C44AAF"/>
    <w:rsid w:val="512A626E"/>
    <w:rsid w:val="519A377F"/>
    <w:rsid w:val="5240615D"/>
    <w:rsid w:val="52B66B6B"/>
    <w:rsid w:val="5331376C"/>
    <w:rsid w:val="538D718D"/>
    <w:rsid w:val="544E5E4E"/>
    <w:rsid w:val="5460353A"/>
    <w:rsid w:val="546E2E4C"/>
    <w:rsid w:val="55686D2C"/>
    <w:rsid w:val="568A4498"/>
    <w:rsid w:val="56B14666"/>
    <w:rsid w:val="57C83996"/>
    <w:rsid w:val="58E96713"/>
    <w:rsid w:val="5A9A0890"/>
    <w:rsid w:val="5BE62191"/>
    <w:rsid w:val="5C9D0C41"/>
    <w:rsid w:val="5D631F31"/>
    <w:rsid w:val="5EDA1842"/>
    <w:rsid w:val="5FC07C65"/>
    <w:rsid w:val="60077F78"/>
    <w:rsid w:val="61CF3563"/>
    <w:rsid w:val="628139A6"/>
    <w:rsid w:val="64FF284C"/>
    <w:rsid w:val="6503094D"/>
    <w:rsid w:val="653827AE"/>
    <w:rsid w:val="65B726FF"/>
    <w:rsid w:val="65CB397A"/>
    <w:rsid w:val="6659731E"/>
    <w:rsid w:val="67656E60"/>
    <w:rsid w:val="67F56971"/>
    <w:rsid w:val="687B233F"/>
    <w:rsid w:val="688A5F17"/>
    <w:rsid w:val="693D14C0"/>
    <w:rsid w:val="6987738A"/>
    <w:rsid w:val="69A31492"/>
    <w:rsid w:val="6B01706C"/>
    <w:rsid w:val="6B443367"/>
    <w:rsid w:val="6B826019"/>
    <w:rsid w:val="6D29102B"/>
    <w:rsid w:val="6D8E6195"/>
    <w:rsid w:val="6DE20E69"/>
    <w:rsid w:val="6EF72580"/>
    <w:rsid w:val="6FD57984"/>
    <w:rsid w:val="70797A99"/>
    <w:rsid w:val="70C552E1"/>
    <w:rsid w:val="70D74E32"/>
    <w:rsid w:val="712A608C"/>
    <w:rsid w:val="72EA11D2"/>
    <w:rsid w:val="73F478FD"/>
    <w:rsid w:val="742B0247"/>
    <w:rsid w:val="744C0161"/>
    <w:rsid w:val="746448CC"/>
    <w:rsid w:val="74715C5F"/>
    <w:rsid w:val="75046DCA"/>
    <w:rsid w:val="750F42D9"/>
    <w:rsid w:val="75707253"/>
    <w:rsid w:val="75BF02D2"/>
    <w:rsid w:val="76610884"/>
    <w:rsid w:val="770B71A3"/>
    <w:rsid w:val="771D741F"/>
    <w:rsid w:val="77571672"/>
    <w:rsid w:val="776F7998"/>
    <w:rsid w:val="77AC1D07"/>
    <w:rsid w:val="77FB7C34"/>
    <w:rsid w:val="78E50468"/>
    <w:rsid w:val="7A2D5066"/>
    <w:rsid w:val="7B1023B6"/>
    <w:rsid w:val="7B4E4766"/>
    <w:rsid w:val="7BFF7FA4"/>
    <w:rsid w:val="7CAA6E91"/>
    <w:rsid w:val="7CBF5F2D"/>
    <w:rsid w:val="7CCD4268"/>
    <w:rsid w:val="7D28683F"/>
    <w:rsid w:val="7D941E23"/>
    <w:rsid w:val="7E9E599B"/>
    <w:rsid w:val="7EBD784E"/>
    <w:rsid w:val="7FF754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kern w:val="44"/>
      <w:sz w:val="24"/>
      <w:szCs w:val="24"/>
      <w:lang w:val="en-US" w:eastAsia="zh-CN"/>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jc w:val="center"/>
    </w:pPr>
    <w:rPr>
      <w:rFonts w:ascii="宋体"/>
      <w:sz w:val="44"/>
    </w:rPr>
  </w:style>
  <w:style w:type="paragraph" w:styleId="4">
    <w:name w:val="Plain Text"/>
    <w:basedOn w:val="1"/>
    <w:qFormat/>
    <w:uiPriority w:val="0"/>
    <w:rPr>
      <w:rFonts w:ascii="宋体" w:hAnsi="Courier New" w:cs="Times New Roman"/>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paragraph" w:styleId="8">
    <w:name w:val="Body Text First Indent"/>
    <w:basedOn w:val="3"/>
    <w:next w:val="1"/>
    <w:qFormat/>
    <w:uiPriority w:val="0"/>
    <w:pPr>
      <w:spacing w:after="120"/>
      <w:ind w:firstLine="420" w:firstLineChars="100"/>
    </w:pPr>
    <w:rPr>
      <w:rFonts w:ascii="Calibri" w:hAnsi="Calibri"/>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FollowedHyperlink"/>
    <w:basedOn w:val="11"/>
    <w:qFormat/>
    <w:uiPriority w:val="0"/>
    <w:rPr>
      <w:color w:val="333333"/>
      <w:u w:val="none"/>
    </w:rPr>
  </w:style>
  <w:style w:type="character" w:styleId="14">
    <w:name w:val="Emphasis"/>
    <w:basedOn w:val="11"/>
    <w:qFormat/>
    <w:uiPriority w:val="0"/>
  </w:style>
  <w:style w:type="character" w:styleId="15">
    <w:name w:val="Hyperlink"/>
    <w:basedOn w:val="11"/>
    <w:qFormat/>
    <w:uiPriority w:val="0"/>
    <w:rPr>
      <w:color w:val="333333"/>
      <w:u w:val="none"/>
    </w:rPr>
  </w:style>
  <w:style w:type="paragraph" w:customStyle="1" w:styleId="16">
    <w:name w:val="_Style 5"/>
    <w:basedOn w:val="1"/>
    <w:qFormat/>
    <w:uiPriority w:val="0"/>
    <w:pPr>
      <w:ind w:firstLine="200" w:firstLineChars="200"/>
    </w:pPr>
    <w:rPr>
      <w:rFonts w:cs="黑体"/>
    </w:rPr>
  </w:style>
  <w:style w:type="character" w:customStyle="1" w:styleId="17">
    <w:name w:val="current"/>
    <w:basedOn w:val="11"/>
    <w:qFormat/>
    <w:uiPriority w:val="0"/>
    <w:rPr>
      <w:b/>
      <w:color w:val="333333"/>
      <w:bdr w:val="single" w:color="777777" w:sz="6" w:space="0"/>
      <w:shd w:val="clear" w:color="030000" w:fill="EEEEEE"/>
    </w:rPr>
  </w:style>
  <w:style w:type="character" w:customStyle="1" w:styleId="18">
    <w:name w:val="disabled"/>
    <w:basedOn w:val="11"/>
    <w:qFormat/>
    <w:uiPriority w:val="0"/>
    <w:rPr>
      <w:color w:val="AAAAAA"/>
      <w:bdr w:val="single" w:color="AAAAAA" w:sz="6" w:space="0"/>
    </w:rPr>
  </w:style>
  <w:style w:type="character" w:customStyle="1" w:styleId="19">
    <w:name w:val="bsharetext"/>
    <w:basedOn w:val="1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2020-06-04T09:25:00Z</dcterms:created>
  <dc:creator>zy</dc:creator>
  <cp:lastModifiedBy>区妇联</cp:lastModifiedBy>
  <cp:lastPrinted>2021-12-02T07:25:00Z</cp:lastPrinted>
  <dcterms:modified xsi:type="dcterms:W3CDTF">2021-12-23T03:36:36Z</dcterms:modified>
  <dc:title>福田区妇联整体工作情况汇报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y fmtid="{D5CDD505-2E9C-101B-9397-08002B2CF9AE}" pid="3" name="ICV">
    <vt:lpwstr>72B3E061D32E40FF9D535AF95AC9CB67</vt:lpwstr>
  </property>
</Properties>
</file>