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4494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val="en-US" w:eastAsia="zh-CN"/>
        </w:rPr>
      </w:pPr>
    </w:p>
    <w:p w14:paraId="24C466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val="en-US" w:eastAsia="zh-CN"/>
        </w:rPr>
        <w:t>福田区外商投资企业全周期协同服务</w:t>
      </w:r>
    </w:p>
    <w:p w14:paraId="307D9D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val="en-US" w:eastAsia="zh-CN"/>
        </w:rPr>
        <w:t>工作机制（征求意见稿）</w:t>
      </w:r>
    </w:p>
    <w:p w14:paraId="11CE87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val="en-US" w:eastAsia="zh-CN"/>
        </w:rPr>
      </w:pPr>
    </w:p>
    <w:p w14:paraId="503786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为深入贯彻落实党中央、国务院关于高水平对外开放的决策部署，持续优化外商投资环境，提升外商投资便利化水平，健全外商投资服务保障体系，塑造吸引外资新优势。结合福田区实际，建立覆盖从招引、设立、建设、运营到退出全生命周期的协同服务机制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，确保外商投资全程“有人跟、有人管、有保障”。</w:t>
      </w:r>
    </w:p>
    <w:p w14:paraId="03CD84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leftChars="200" w:right="0" w:rightChars="0"/>
        <w:jc w:val="both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一、工作目标</w:t>
      </w:r>
    </w:p>
    <w:p w14:paraId="6CFD17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建立健全外商投资全周期协同服务机制，为外国投资者及在福田区投资经营的外商投资企业，提供覆盖招引、设立、建设、运营到退出全生命周期高效、精准、协同服务，及时协调解决外资企业诉求，做好外资项目服务保障。</w:t>
      </w:r>
    </w:p>
    <w:p w14:paraId="0B3AA4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leftChars="200" w:right="0" w:rightChars="0"/>
        <w:jc w:val="both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二、适用范围</w:t>
      </w:r>
    </w:p>
    <w:p w14:paraId="6FE9F4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本机制所称外商投资，是指外国的自然人、企业或者其他组织（以下简称外国投资者）直接或者间接在福田区内进行的投资活动。所称投资活动，包括已实施的投资以及具有投资意向拟实施的投资。本机制相关服务同步适用于香港特别行政区、澳门特别行政区的投资者在福田区内投资活动。</w:t>
      </w:r>
    </w:p>
    <w:p w14:paraId="507D58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leftChars="200" w:right="0" w:rightChars="0"/>
        <w:jc w:val="both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三、全周期协同服务流程</w:t>
      </w:r>
    </w:p>
    <w:p w14:paraId="4AEE63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kern w:val="2"/>
          <w:sz w:val="32"/>
          <w:szCs w:val="32"/>
          <w:lang w:val="en-US" w:eastAsia="zh-CN"/>
        </w:rPr>
        <w:t>（一）招引对接阶段</w:t>
      </w:r>
    </w:p>
    <w:p w14:paraId="49C65A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1.招商推介。福田区投资促进局牵头深入实施重点国别招引，织密境内外招商网络，会同相关政府部门、区属国企及产业园区运营方、行业协会等资源保障单位，全面梳理全区产业政策、空间载体、产业基金、应用场景、人才配套、政务服务等各项资源要素，定期更新福田区外资企业服务手册。外商可以通过服务手册或参加福田区组织的境内外招商活动，多维度了解福田区营商环境。</w:t>
      </w:r>
    </w:p>
    <w:p w14:paraId="17BDD6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2.意向登记。意向投资福田的外商，可通过以下方式登记投资意向：</w:t>
      </w:r>
    </w:p>
    <w:p w14:paraId="398FF1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（1）线上登记。关注“投资福田”微信公众号，一站式查阅营商环境、投资政策、空间资源、投资动态及在福田发展企业案例，通过电话、邮箱或微信公众号进行投资意向登记。</w:t>
      </w:r>
    </w:p>
    <w:p w14:paraId="182FEB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（2）线下对接。参加福田区政府部门组织的境内外招商活动、展会招商、精准招商对接会等，现场登记投资意向。</w:t>
      </w:r>
    </w:p>
    <w:p w14:paraId="397343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（3）上级部门交办或推荐。经上级部门交办、协会或产业园区推荐、境外机构推荐等渠道引入的项目。</w:t>
      </w:r>
    </w:p>
    <w:p w14:paraId="63547C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区投资促进局作为全区外资投资意向线索的归口统筹部门，负责线索的统一收集与前置研判。依据外商投资准入特别管理措施及本地产业发展规划，对线索进行合规性与产业契合度审查。经研判符合本地产业发展导向的意向线索，严格落实“管行业（产业）管招商”的工作原则，依托“一网统管”系统，精准分拨至对应的行业（产业）主管部门，该部门作为牵头单位负责后续对接与跟进服务。</w:t>
      </w:r>
    </w:p>
    <w:p w14:paraId="65B175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3.服务跟进。落地牵头部门提供全链条服务，包括政策解读、空间选址、市场考察、融资对接、政策咨询、政务指引及跨境事项协调支持；服务专员定期通过线上或线下提供服务，确保诉求及时响应。</w:t>
      </w:r>
    </w:p>
    <w:p w14:paraId="511A59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kern w:val="2"/>
          <w:sz w:val="32"/>
          <w:szCs w:val="32"/>
          <w:lang w:val="en-US" w:eastAsia="zh-CN"/>
        </w:rPr>
        <w:t>（二）设立准入阶段</w:t>
      </w:r>
    </w:p>
    <w:p w14:paraId="6C7916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1.准入登记。落实外商投资准入前国民待遇和负面清单管理制度，为外商投资企业提供商事登记、行政审批、资质许可等便捷服务；提供“一网通办”“一窗通办”“容缺受理”“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证照联办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”等涉外高效政务服务，提供“事前指导、事中协调、事后回访”闭环服务体系；指导企业依法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报送外商投资信息报告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，提高准入便利化水平。</w:t>
      </w:r>
    </w:p>
    <w:p w14:paraId="77D227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2.跨境金融服务。会同相关部门或机构协助外商投资企业资本资金账户开立、FDI外汇登记、资金跨境流动等业务，协助对接金融机构，解决融资需求。</w:t>
      </w:r>
    </w:p>
    <w:p w14:paraId="54A552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3.办理到资纳统入库。在项目注册落地、企业设立资本金账户后，区行业（产业）主管部门会同属地街道跟踪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/>
        </w:rPr>
        <w:t>境外投资者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注册资本实缴进展，协调解决企业境外资金流入相关问题，待资金到账后，指导企业提交统计凭证，确保到资数据应统尽统。</w:t>
      </w:r>
    </w:p>
    <w:p w14:paraId="4B57F6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kern w:val="2"/>
          <w:sz w:val="32"/>
          <w:szCs w:val="32"/>
          <w:lang w:val="en-US" w:eastAsia="zh-CN"/>
        </w:rPr>
        <w:t>（三）建设投产阶段</w:t>
      </w:r>
    </w:p>
    <w:p w14:paraId="767E84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/>
        </w:rPr>
        <w:t>1.分类服务。根据项目类别及投资规模，实施差异化服务：对于新设投资项目，重点协调商事登记、空间选址、人才招聘；对于增资扩产项目，重点协调用地扩容、产能提升、资质变更；对于并购重组项目，重点优化登记注册及跨境并购流程；对于固定资产建设项目，重点协调用地保障、建设审批、配套接入。</w:t>
      </w:r>
    </w:p>
    <w:p w14:paraId="6FC596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2.要素资源保障。牵头对外资项目生产经营要素资源统筹，会同各相关部门协调解决资质许可、用地用能用工等关键问题；统筹产业用房资源，为企业提供办公选址、产业用房租赁等空间匹配服务；为符合产业导向的重大项目，依法依规协调用地保障，降低初期运营成本。</w:t>
      </w:r>
    </w:p>
    <w:p w14:paraId="4E6656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3.审批协调服务。建立跨部门协同联动机制，对涉及部门审批事项推行并联办理，压缩建设周期。优化并购重组类项目的登记注册及跨境并购流程。</w:t>
      </w:r>
    </w:p>
    <w:p w14:paraId="23A9E6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4.投产配套保障。会同有关部门协助企业对接人才招聘渠道，围绕企业日常运营需求，及时解决企业诉求，协调水电气网等市政配套，确保项目尽早投产运营。</w:t>
      </w:r>
    </w:p>
    <w:p w14:paraId="4BBBE3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kern w:val="2"/>
          <w:sz w:val="32"/>
          <w:szCs w:val="32"/>
          <w:lang w:val="en-US" w:eastAsia="zh-CN"/>
        </w:rPr>
        <w:t>（四）运营服务阶段</w:t>
      </w:r>
    </w:p>
    <w:p w14:paraId="226ED5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1.政策直达快享。落实惠企政策，定期组织外资企业政策宣讲会，确保政策应享尽享；对重点引进的特大、关键、产业链核心项目，在落户选址、政策支持等方面给予专项协调支持。</w:t>
      </w:r>
    </w:p>
    <w:p w14:paraId="17FAD1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2.培育壮大市场。鼓励企业利润再投资、增资扩股、技术改造和数字化转型；协助企业申报跨国公司总部企业、外资研发中心等资质认定；支持企业拓展业务场景，协调开放政府合作场景。服务牵头部门以推动企业纳统为目标，持续开展精准服务。对落地项目中协调无法解决的难点堵点问题，应当及时上报上级协调解决。</w:t>
      </w:r>
    </w:p>
    <w:p w14:paraId="10CADB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3.诉求快速响应。落实《深圳市外商投资企业投诉工作办法》，及时、公正、有效处理外商投资企业投诉，保护外商投资合法权益；设立诉求反映绿色通道，帮助企业纾困解难。区企业服务中心及时将新注册落户外资企业纳入名录，开展企业服务相关工作。</w:t>
      </w:r>
    </w:p>
    <w:p w14:paraId="05859E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kern w:val="2"/>
          <w:sz w:val="32"/>
          <w:szCs w:val="32"/>
          <w:lang w:val="en-US" w:eastAsia="zh-CN"/>
        </w:rPr>
        <w:t>（五）调整退出阶段</w:t>
      </w:r>
    </w:p>
    <w:p w14:paraId="71C0D3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1.企业变更服务。政务服务部门指导企业办理股权转让、增减资等权益变更手续；协助完成相关登记审批事项；对涉及外资并购、安全审查等事项，依法依规协助企业履行审查程序。</w:t>
      </w:r>
    </w:p>
    <w:p w14:paraId="2BB2CC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2.清算注销服务。协助企业依法办理税务清算手续；协助办理海关注销、外汇登记注销；协助办理工商注销、资金汇出等手续。各部门应当依法保障企业退出权利，不得设置不合理退出障碍。</w:t>
      </w:r>
    </w:p>
    <w:p w14:paraId="14BD5A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leftChars="200" w:right="0" w:rightChars="0"/>
        <w:jc w:val="both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四、协同服务机制</w:t>
      </w:r>
    </w:p>
    <w:p w14:paraId="22CE6B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kern w:val="2"/>
          <w:sz w:val="32"/>
          <w:szCs w:val="32"/>
          <w:lang w:val="en-US" w:eastAsia="zh-CN"/>
        </w:rPr>
        <w:t>（一）健全专班专员责任落实机制。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依托外资项目“专班推进+专员服务”机制，落实“管行业（产业）管外资”职责。外资主管部门统筹调度与数据归集，行业（产业）主管部门牵头项目招引、推进落地到资。街道负责属地服务保障。区属国企发挥资源优势，引入国际资本。企业服务中心统筹安商稳商、企业跟踪服务，协调解决经营难题。</w:t>
      </w:r>
    </w:p>
    <w:p w14:paraId="215162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kern w:val="2"/>
          <w:sz w:val="32"/>
          <w:szCs w:val="32"/>
          <w:lang w:val="en-US" w:eastAsia="zh-CN"/>
        </w:rPr>
        <w:t>（二）建立跨部门联动服务保障机制。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建立“线索挖掘－在谈推进－签约落地－到资运营”全链条外资项目库，联动部门和街道，实施分级动态管理。通过全流程监测和定期调度，加速在谈促签约、签约促到资、储备促转化，并针对关键环节疏通堵点，确保闭环高效推进。</w:t>
      </w:r>
    </w:p>
    <w:p w14:paraId="21264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kern w:val="2"/>
          <w:sz w:val="32"/>
          <w:szCs w:val="32"/>
          <w:lang w:val="en-US" w:eastAsia="zh-CN"/>
        </w:rPr>
        <w:t>（三）加强政企沟通与权益保护。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建立健全外商投资企业常态化沟通机制，通过圆桌会议、外资企业大走访、政策宣讲、产业对接等形式，畅通政企交流渠道。严格落实外商投资企业国民待遇，依法保护外商投资合法权益，设立投诉受理专门窗口，健全知识产权协同保护机制。</w:t>
      </w:r>
    </w:p>
    <w:p w14:paraId="146C3F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leftChars="200" w:right="0" w:rightChars="0"/>
        <w:jc w:val="both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五、责任分工</w:t>
      </w:r>
    </w:p>
    <w:p w14:paraId="0DEA72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（一）区投资促进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局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负责统筹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福田区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外商投资促进工作，提供业务指引、政策推送、投资咨询、投诉协调等服务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；</w:t>
      </w:r>
    </w:p>
    <w:p w14:paraId="062A95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（二）各行业（产业）主管部门牵头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落实职责范围行业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外资项目招引，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并做好企业在本地发展壮大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跟踪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及指导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服务；</w:t>
      </w:r>
    </w:p>
    <w:p w14:paraId="0A9492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（三）区政务服务与数据管理局统筹全区线上线下涉外政务服务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；</w:t>
      </w:r>
    </w:p>
    <w:p w14:paraId="568871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（四）各街道办事处负责属地企业服务保障，</w:t>
      </w:r>
      <w:r>
        <w:rPr>
          <w:rFonts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依法组织实施辖区统计和各类普查工作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；</w:t>
      </w:r>
    </w:p>
    <w:p w14:paraId="0D352F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（五）区企业服务中心统筹安商稳商、企业跟踪服务，针对企业不同发展阶段提供精准对接服务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；</w:t>
      </w:r>
    </w:p>
    <w:p w14:paraId="36B0CD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其他涉及外商投资服务事项的单位，按照各自职责协同配合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。</w:t>
      </w:r>
    </w:p>
    <w:p w14:paraId="10A6E3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 w:firstLineChars="0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</w:p>
    <w:sectPr>
      <w:pgSz w:w="11906" w:h="16838"/>
      <w:pgMar w:top="2098" w:right="1474" w:bottom="1440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4854FE"/>
    <w:rsid w:val="095B1E1C"/>
    <w:rsid w:val="0A6E1445"/>
    <w:rsid w:val="0D4854FE"/>
    <w:rsid w:val="11024E3A"/>
    <w:rsid w:val="2A400449"/>
    <w:rsid w:val="310271F1"/>
    <w:rsid w:val="3E5541D1"/>
    <w:rsid w:val="493417A6"/>
    <w:rsid w:val="697C3AA2"/>
    <w:rsid w:val="6C880260"/>
    <w:rsid w:val="73F9D3A1"/>
    <w:rsid w:val="BE72996B"/>
    <w:rsid w:val="F4EF4205"/>
    <w:rsid w:val="F7A6A4BA"/>
    <w:rsid w:val="FE9EAD2A"/>
    <w:rsid w:val="FFBFAFE9"/>
    <w:rsid w:val="FFBFD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60" w:lineRule="auto"/>
      <w:ind w:firstLine="480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d46e7403-ddba-47bd-ba9d-436ab3f36a26</errorID>
      <errorWord xmlns="http://schemas.wps.cn/vas-ai-hub/contract-review">。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，</item>
      </candidateList>
      <explain xmlns="http://schemas.wps.cn/vas-ai-hub/contract-review"/>
      <paraID xmlns="http://schemas.wps.cn/vas-ai-hub/contract-review">50378616</paraID>
      <start xmlns="http://schemas.wps.cn/vas-ai-hub/contract-review">74</start>
      <end xmlns="http://schemas.wps.cn/vas-ai-hub/contract-review">75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263b58f6-8c17-49a6-9a18-7e1a834d6482</errorID>
      <errorWord xmlns="http://schemas.wps.cn/vas-ai-hub/contract-review">拟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、拟</item>
      </candidateList>
      <explain xmlns="http://schemas.wps.cn/vas-ai-hub/contract-review"/>
      <paraID xmlns="http://schemas.wps.cn/vas-ai-hub/contract-review">1E5E87ED</paraID>
      <start xmlns="http://schemas.wps.cn/vas-ai-hub/contract-review">80</start>
      <end xmlns="http://schemas.wps.cn/vas-ai-hub/contract-review">81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9500e43a-8b99-4c96-ab08-56d1b701eeca</errorID>
      <errorWord xmlns="http://schemas.wps.cn/vas-ai-hub/contract-review">：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服务：</item>
      </candidateList>
      <explain xmlns="http://schemas.wps.cn/vas-ai-hub/contract-review"/>
      <paraID xmlns="http://schemas.wps.cn/vas-ai-hub/contract-review">767E84F6</paraID>
      <start xmlns="http://schemas.wps.cn/vas-ai-hub/contract-review">26</start>
      <end xmlns="http://schemas.wps.cn/vas-ai-hub/contract-review">29</end>
      <status xmlns="http://schemas.wps.cn/vas-ai-hub/contract-review">modified</status>
      <modifiedWord xmlns="http://schemas.wps.cn/vas-ai-hub/contract-review">服务：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05b3a8f7-e70d-4265-b7ea-ed5973123422</errorID>
      <errorWord xmlns="http://schemas.wps.cn/vas-ai-hub/contract-review">12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11</item>
      </candidateList>
      <explain xmlns="http://schemas.wps.cn/vas-ai-hub/contract-review">标题顺序错误，请检查标题顺序是否合理。</explain>
      <paraID xmlns="http://schemas.wps.cn/vas-ai-hub/contract-review"> 8CBE38F</paraID>
      <start xmlns="http://schemas.wps.cn/vas-ai-hub/contract-review">0</start>
      <end xmlns="http://schemas.wps.cn/vas-ai-hub/contract-review">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467fc79c-f3cc-4053-b0e4-8b249ca89642</errorID>
      <errorWord xmlns="http://schemas.wps.cn/vas-ai-hub/contract-review">等行业主管部门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等</item>
      </candidateList>
      <explain xmlns="http://schemas.wps.cn/vas-ai-hub/contract-review"/>
      <paraID xmlns="http://schemas.wps.cn/vas-ai-hub/contract-review">75E84816</paraID>
      <start xmlns="http://schemas.wps.cn/vas-ai-hub/contract-review">136</start>
      <end xmlns="http://schemas.wps.cn/vas-ai-hub/contract-review">143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1aea5e4b-e178-4663-8492-3c9b0972d7f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5386</Words>
  <Characters>5437</Characters>
  <Lines>0</Lines>
  <Paragraphs>0</Paragraphs>
  <TotalTime>47</TotalTime>
  <ScaleCrop>false</ScaleCrop>
  <LinksUpToDate>false</LinksUpToDate>
  <CharactersWithSpaces>5437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2026-09-09T17:09:00Z</dcterms:created>
  <dc:creator>fttc</dc:creator>
  <cp:lastModifiedBy>TCJ</cp:lastModifiedBy>
  <dcterms:modified xsi:type="dcterms:W3CDTF">2026-09-17T12:05:44Z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C03F06B1BA8951E54A5CAB6A554CF55E_43</vt:lpwstr>
  </property>
  <property fmtid="{D5CDD505-2E9C-101B-9397-08002B2CF9AE}" pid="4" name="KSOTemplateDocerSaveRecord">
    <vt:lpwstr>eyJoZGlkIjoiNzhmMWJlZjlhYzYxYTRlZjUyZjY1NGQzODdlNTIzNjUiLCJ1c2VySWQiOiIyODIxNjExNzAifQ==</vt:lpwstr>
  </property>
</Properties>
</file>